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85" w:rsidRDefault="00B81285" w:rsidP="00194B11">
      <w:pPr>
        <w:rPr>
          <w:rFonts w:ascii="Arial" w:hAnsi="Arial" w:cs="Arial"/>
          <w:b/>
          <w:sz w:val="32"/>
          <w:szCs w:val="32"/>
        </w:rPr>
      </w:pPr>
    </w:p>
    <w:p w:rsidR="00651CD8" w:rsidRPr="00162C54" w:rsidRDefault="00162C54" w:rsidP="00162C54">
      <w:pPr>
        <w:rPr>
          <w:rFonts w:ascii="Arial" w:hAnsi="Arial" w:cs="Arial"/>
          <w:b/>
          <w:sz w:val="32"/>
          <w:szCs w:val="32"/>
        </w:rPr>
      </w:pPr>
      <w:r>
        <w:rPr>
          <w:rFonts w:ascii="Arial" w:hAnsi="Arial" w:cs="Arial"/>
          <w:b/>
          <w:sz w:val="32"/>
          <w:szCs w:val="32"/>
        </w:rPr>
        <w:t xml:space="preserve">The Broughton Trust: </w:t>
      </w:r>
      <w:r w:rsidR="00B22638">
        <w:rPr>
          <w:rFonts w:ascii="Arial" w:hAnsi="Arial" w:cs="Arial"/>
          <w:b/>
          <w:sz w:val="32"/>
          <w:szCs w:val="32"/>
        </w:rPr>
        <w:t xml:space="preserve">GDPR </w:t>
      </w:r>
      <w:r w:rsidR="001F2D96">
        <w:rPr>
          <w:rFonts w:ascii="Arial" w:hAnsi="Arial" w:cs="Arial"/>
          <w:b/>
          <w:sz w:val="28"/>
          <w:szCs w:val="28"/>
        </w:rPr>
        <w:t>Beneficiaries</w:t>
      </w:r>
      <w:r w:rsidR="00194B11" w:rsidRPr="00A948BA">
        <w:rPr>
          <w:rFonts w:ascii="Arial" w:hAnsi="Arial" w:cs="Arial"/>
          <w:b/>
          <w:sz w:val="28"/>
          <w:szCs w:val="28"/>
        </w:rPr>
        <w:t xml:space="preserve"> Privacy Notice</w:t>
      </w:r>
    </w:p>
    <w:p w:rsidR="00194B11" w:rsidRPr="00162C54" w:rsidRDefault="001F2D96" w:rsidP="00495318">
      <w:pPr>
        <w:rPr>
          <w:rFonts w:ascii="Arial" w:hAnsi="Arial" w:cs="Arial"/>
          <w:b/>
        </w:rPr>
      </w:pPr>
      <w:r>
        <w:rPr>
          <w:rFonts w:ascii="Arial" w:hAnsi="Arial" w:cs="Arial"/>
          <w:b/>
        </w:rPr>
        <w:t>How beneficiaries</w:t>
      </w:r>
      <w:r w:rsidR="00194B11" w:rsidRPr="00162C54">
        <w:rPr>
          <w:rFonts w:ascii="Arial" w:hAnsi="Arial" w:cs="Arial"/>
          <w:b/>
        </w:rPr>
        <w:t xml:space="preserve"> information is used</w:t>
      </w:r>
      <w:r w:rsidR="00C5587C" w:rsidRPr="00162C54">
        <w:rPr>
          <w:rFonts w:ascii="Arial" w:hAnsi="Arial" w:cs="Arial"/>
          <w:b/>
        </w:rPr>
        <w:t>:</w:t>
      </w:r>
    </w:p>
    <w:p w:rsidR="00194B11" w:rsidRPr="00162C54" w:rsidRDefault="00194B11" w:rsidP="00495318">
      <w:pPr>
        <w:spacing w:line="240" w:lineRule="auto"/>
        <w:rPr>
          <w:rFonts w:ascii="Arial" w:hAnsi="Arial" w:cs="Arial"/>
        </w:rPr>
      </w:pPr>
      <w:r w:rsidRPr="00162C54">
        <w:rPr>
          <w:rFonts w:ascii="Arial" w:hAnsi="Arial" w:cs="Arial"/>
          <w:b/>
        </w:rPr>
        <w:t>1.</w:t>
      </w:r>
      <w:r w:rsidRPr="00162C54">
        <w:rPr>
          <w:rFonts w:ascii="Arial" w:hAnsi="Arial" w:cs="Arial"/>
        </w:rPr>
        <w:t xml:space="preserve"> </w:t>
      </w:r>
      <w:r w:rsidR="001855EB" w:rsidRPr="00162C54">
        <w:rPr>
          <w:rFonts w:ascii="Arial" w:hAnsi="Arial" w:cs="Arial"/>
        </w:rPr>
        <w:t>As a Charity and Company limited by Guarantee</w:t>
      </w:r>
      <w:r w:rsidRPr="00162C54">
        <w:rPr>
          <w:rFonts w:ascii="Arial" w:hAnsi="Arial" w:cs="Arial"/>
        </w:rPr>
        <w:t xml:space="preserve">, we need to keep and process information about our members. We will keep and use it </w:t>
      </w:r>
      <w:r w:rsidR="001855EB" w:rsidRPr="00162C54">
        <w:rPr>
          <w:rFonts w:ascii="Arial" w:hAnsi="Arial" w:cs="Arial"/>
        </w:rPr>
        <w:t>to enable us to run our Organisation</w:t>
      </w:r>
      <w:r w:rsidRPr="00162C54">
        <w:rPr>
          <w:rFonts w:ascii="Arial" w:hAnsi="Arial" w:cs="Arial"/>
        </w:rPr>
        <w:t xml:space="preserve"> and manage our relationship with our </w:t>
      </w:r>
      <w:r w:rsidR="0095356B">
        <w:rPr>
          <w:rFonts w:ascii="Arial" w:hAnsi="Arial" w:cs="Arial"/>
          <w:b/>
        </w:rPr>
        <w:t>beneficiaries</w:t>
      </w:r>
      <w:r w:rsidR="0095356B">
        <w:rPr>
          <w:rFonts w:ascii="Arial" w:hAnsi="Arial" w:cs="Arial"/>
        </w:rPr>
        <w:t xml:space="preserve"> </w:t>
      </w:r>
      <w:r w:rsidRPr="00162C54">
        <w:rPr>
          <w:rFonts w:ascii="Arial" w:hAnsi="Arial" w:cs="Arial"/>
        </w:rPr>
        <w:t>effectively, lawfully and appropriately</w:t>
      </w:r>
      <w:r w:rsidR="000D320D" w:rsidRPr="00162C54">
        <w:rPr>
          <w:rFonts w:ascii="Arial" w:hAnsi="Arial" w:cs="Arial"/>
        </w:rPr>
        <w:t xml:space="preserve">, </w:t>
      </w:r>
      <w:r w:rsidRPr="00162C54">
        <w:rPr>
          <w:rFonts w:ascii="Arial" w:hAnsi="Arial" w:cs="Arial"/>
        </w:rPr>
        <w:t xml:space="preserve">at the time they apply to be a </w:t>
      </w:r>
      <w:r w:rsidR="0095356B">
        <w:rPr>
          <w:rFonts w:ascii="Arial" w:hAnsi="Arial" w:cs="Arial"/>
          <w:b/>
        </w:rPr>
        <w:t>beneficiary</w:t>
      </w:r>
      <w:r w:rsidRPr="00162C54">
        <w:rPr>
          <w:rFonts w:ascii="Arial" w:hAnsi="Arial" w:cs="Arial"/>
        </w:rPr>
        <w:t>, during th</w:t>
      </w:r>
      <w:r w:rsidR="001F2D96">
        <w:rPr>
          <w:rFonts w:ascii="Arial" w:hAnsi="Arial" w:cs="Arial"/>
        </w:rPr>
        <w:t xml:space="preserve">e time that they are a </w:t>
      </w:r>
      <w:r w:rsidR="001F2D96">
        <w:rPr>
          <w:rFonts w:ascii="Arial" w:hAnsi="Arial" w:cs="Arial"/>
          <w:b/>
        </w:rPr>
        <w:t>beneficiary</w:t>
      </w:r>
      <w:r w:rsidRPr="00162C54">
        <w:rPr>
          <w:rFonts w:ascii="Arial" w:hAnsi="Arial" w:cs="Arial"/>
        </w:rPr>
        <w:t xml:space="preserve"> and</w:t>
      </w:r>
      <w:r w:rsidR="0066272D">
        <w:rPr>
          <w:rFonts w:ascii="Arial" w:hAnsi="Arial" w:cs="Arial"/>
        </w:rPr>
        <w:t xml:space="preserve"> after they cease </w:t>
      </w:r>
      <w:r w:rsidR="003F7EA8">
        <w:rPr>
          <w:rFonts w:ascii="Arial" w:hAnsi="Arial" w:cs="Arial"/>
        </w:rPr>
        <w:t xml:space="preserve">to be a </w:t>
      </w:r>
      <w:r w:rsidR="003F7EA8" w:rsidRPr="003F7EA8">
        <w:rPr>
          <w:rFonts w:ascii="Arial" w:hAnsi="Arial" w:cs="Arial"/>
          <w:b/>
        </w:rPr>
        <w:t>direct beneficiary</w:t>
      </w:r>
      <w:r w:rsidRPr="00162C54">
        <w:rPr>
          <w:rFonts w:ascii="Arial" w:hAnsi="Arial" w:cs="Arial"/>
        </w:rPr>
        <w:t>.</w:t>
      </w:r>
    </w:p>
    <w:p w:rsidR="00194B11" w:rsidRPr="00162C54" w:rsidRDefault="00194B11" w:rsidP="00495318">
      <w:pPr>
        <w:spacing w:line="240" w:lineRule="auto"/>
        <w:rPr>
          <w:rFonts w:ascii="Arial" w:hAnsi="Arial" w:cs="Arial"/>
        </w:rPr>
      </w:pPr>
      <w:r w:rsidRPr="00162C54">
        <w:rPr>
          <w:rFonts w:ascii="Arial" w:hAnsi="Arial" w:cs="Arial"/>
          <w:b/>
        </w:rPr>
        <w:t>2.</w:t>
      </w:r>
      <w:r w:rsidRPr="00162C54">
        <w:rPr>
          <w:rFonts w:ascii="Arial" w:hAnsi="Arial" w:cs="Arial"/>
        </w:rPr>
        <w:t xml:space="preserve"> </w:t>
      </w:r>
      <w:r w:rsidR="006A1133">
        <w:rPr>
          <w:rFonts w:ascii="Arial" w:hAnsi="Arial" w:cs="Arial"/>
          <w:b/>
        </w:rPr>
        <w:t>From 31</w:t>
      </w:r>
      <w:r w:rsidR="006A1133" w:rsidRPr="006A1133">
        <w:rPr>
          <w:rFonts w:ascii="Arial" w:hAnsi="Arial" w:cs="Arial"/>
          <w:b/>
          <w:vertAlign w:val="superscript"/>
        </w:rPr>
        <w:t>st</w:t>
      </w:r>
      <w:r w:rsidR="006A1133">
        <w:rPr>
          <w:rFonts w:ascii="Arial" w:hAnsi="Arial" w:cs="Arial"/>
          <w:b/>
        </w:rPr>
        <w:t xml:space="preserve"> </w:t>
      </w:r>
      <w:proofErr w:type="spellStart"/>
      <w:r w:rsidR="006A1133">
        <w:rPr>
          <w:rFonts w:ascii="Arial" w:hAnsi="Arial" w:cs="Arial"/>
          <w:b/>
        </w:rPr>
        <w:t>Janaury</w:t>
      </w:r>
      <w:proofErr w:type="spellEnd"/>
      <w:r w:rsidR="006A1133">
        <w:rPr>
          <w:rFonts w:ascii="Arial" w:hAnsi="Arial" w:cs="Arial"/>
          <w:b/>
        </w:rPr>
        <w:t xml:space="preserve"> 2020 </w:t>
      </w:r>
      <w:r w:rsidR="006A1133">
        <w:rPr>
          <w:rFonts w:ascii="Arial" w:hAnsi="Arial" w:cs="Arial"/>
        </w:rPr>
        <w:t>we are</w:t>
      </w:r>
      <w:bookmarkStart w:id="0" w:name="_GoBack"/>
      <w:bookmarkEnd w:id="0"/>
      <w:r w:rsidRPr="00162C54">
        <w:rPr>
          <w:rFonts w:ascii="Arial" w:hAnsi="Arial" w:cs="Arial"/>
        </w:rPr>
        <w:t xml:space="preserve"> obliged to t</w:t>
      </w:r>
      <w:r w:rsidR="006A1133">
        <w:rPr>
          <w:rFonts w:ascii="Arial" w:hAnsi="Arial" w:cs="Arial"/>
        </w:rPr>
        <w:t xml:space="preserve">ell our members, under the UK’s </w:t>
      </w:r>
      <w:r w:rsidRPr="00162C54">
        <w:rPr>
          <w:rFonts w:ascii="Arial" w:hAnsi="Arial" w:cs="Arial"/>
          <w:b/>
        </w:rPr>
        <w:t>G</w:t>
      </w:r>
      <w:r w:rsidRPr="00162C54">
        <w:rPr>
          <w:rFonts w:ascii="Arial" w:hAnsi="Arial" w:cs="Arial"/>
        </w:rPr>
        <w:t xml:space="preserve">eneral </w:t>
      </w:r>
      <w:r w:rsidRPr="00162C54">
        <w:rPr>
          <w:rFonts w:ascii="Arial" w:hAnsi="Arial" w:cs="Arial"/>
          <w:b/>
        </w:rPr>
        <w:t>D</w:t>
      </w:r>
      <w:r w:rsidRPr="00162C54">
        <w:rPr>
          <w:rFonts w:ascii="Arial" w:hAnsi="Arial" w:cs="Arial"/>
        </w:rPr>
        <w:t xml:space="preserve">ata </w:t>
      </w:r>
      <w:r w:rsidRPr="00162C54">
        <w:rPr>
          <w:rFonts w:ascii="Arial" w:hAnsi="Arial" w:cs="Arial"/>
          <w:b/>
        </w:rPr>
        <w:t>P</w:t>
      </w:r>
      <w:r w:rsidRPr="00162C54">
        <w:rPr>
          <w:rFonts w:ascii="Arial" w:hAnsi="Arial" w:cs="Arial"/>
        </w:rPr>
        <w:t xml:space="preserve">rotection </w:t>
      </w:r>
      <w:r w:rsidRPr="00162C54">
        <w:rPr>
          <w:rFonts w:ascii="Arial" w:hAnsi="Arial" w:cs="Arial"/>
          <w:b/>
        </w:rPr>
        <w:t>R</w:t>
      </w:r>
      <w:r w:rsidRPr="00162C54">
        <w:rPr>
          <w:rFonts w:ascii="Arial" w:hAnsi="Arial" w:cs="Arial"/>
        </w:rPr>
        <w:t xml:space="preserve">egulation </w:t>
      </w:r>
      <w:r w:rsidRPr="00162C54">
        <w:rPr>
          <w:rFonts w:ascii="Arial" w:hAnsi="Arial" w:cs="Arial"/>
          <w:b/>
        </w:rPr>
        <w:t>(GDPR),</w:t>
      </w:r>
      <w:r w:rsidRPr="00162C54">
        <w:rPr>
          <w:rFonts w:ascii="Arial" w:hAnsi="Arial" w:cs="Arial"/>
        </w:rPr>
        <w:t xml:space="preserve"> the basis (or bases) that we are relying on to hold and process their data. These are as follows:</w:t>
      </w:r>
    </w:p>
    <w:p w:rsidR="00194B11" w:rsidRPr="00162C54" w:rsidRDefault="00194B11" w:rsidP="00495318">
      <w:pPr>
        <w:spacing w:line="240" w:lineRule="auto"/>
        <w:rPr>
          <w:rFonts w:ascii="Arial" w:hAnsi="Arial" w:cs="Arial"/>
        </w:rPr>
      </w:pPr>
      <w:r w:rsidRPr="00162C54">
        <w:rPr>
          <w:rFonts w:ascii="Arial" w:hAnsi="Arial" w:cs="Arial"/>
          <w:b/>
        </w:rPr>
        <w:t>2</w:t>
      </w:r>
      <w:r w:rsidR="003923E7" w:rsidRPr="00C25620">
        <w:rPr>
          <w:rFonts w:ascii="Arial" w:hAnsi="Arial" w:cs="Arial"/>
        </w:rPr>
        <w:t>.</w:t>
      </w:r>
      <w:r w:rsidR="003923E7" w:rsidRPr="00C25620">
        <w:rPr>
          <w:rFonts w:ascii="Arial" w:hAnsi="Arial" w:cs="Arial"/>
          <w:b/>
        </w:rPr>
        <w:t>1</w:t>
      </w:r>
      <w:r w:rsidRPr="00162C54">
        <w:rPr>
          <w:rFonts w:ascii="Arial" w:hAnsi="Arial" w:cs="Arial"/>
        </w:rPr>
        <w:t xml:space="preserve"> Some of the data we hold about </w:t>
      </w:r>
      <w:r w:rsidR="001F2D96">
        <w:rPr>
          <w:rFonts w:ascii="Arial" w:hAnsi="Arial" w:cs="Arial"/>
          <w:b/>
        </w:rPr>
        <w:t>beneficiaries</w:t>
      </w:r>
      <w:r w:rsidRPr="00162C54">
        <w:rPr>
          <w:rFonts w:ascii="Arial" w:hAnsi="Arial" w:cs="Arial"/>
        </w:rPr>
        <w:t xml:space="preserve"> is necessary for compliance with a legal obligation.</w:t>
      </w:r>
    </w:p>
    <w:p w:rsidR="00194B11" w:rsidRPr="00162C54" w:rsidRDefault="0066272D" w:rsidP="00495318">
      <w:pPr>
        <w:spacing w:line="240" w:lineRule="auto"/>
        <w:rPr>
          <w:rFonts w:ascii="Arial" w:hAnsi="Arial" w:cs="Arial"/>
        </w:rPr>
      </w:pPr>
      <w:r>
        <w:rPr>
          <w:rFonts w:ascii="Arial" w:hAnsi="Arial" w:cs="Arial"/>
        </w:rPr>
        <w:t xml:space="preserve">We hold </w:t>
      </w:r>
      <w:r w:rsidRPr="0066272D">
        <w:rPr>
          <w:rFonts w:ascii="Arial" w:hAnsi="Arial" w:cs="Arial"/>
          <w:b/>
        </w:rPr>
        <w:t>beneficiaries</w:t>
      </w:r>
      <w:r w:rsidR="00194B11" w:rsidRPr="00162C54">
        <w:rPr>
          <w:rFonts w:ascii="Arial" w:hAnsi="Arial" w:cs="Arial"/>
        </w:rPr>
        <w:t xml:space="preserve"> names, addresses, any email addresses and phone numbers supplied, to allow us to contact them by post or electronic communication</w:t>
      </w:r>
      <w:r w:rsidR="003E2547" w:rsidRPr="00162C54">
        <w:rPr>
          <w:rFonts w:ascii="Arial" w:hAnsi="Arial" w:cs="Arial"/>
        </w:rPr>
        <w:t>,</w:t>
      </w:r>
      <w:r w:rsidR="00194B11" w:rsidRPr="00162C54">
        <w:rPr>
          <w:rFonts w:ascii="Arial" w:hAnsi="Arial" w:cs="Arial"/>
        </w:rPr>
        <w:t xml:space="preserve"> including </w:t>
      </w:r>
      <w:r w:rsidR="003E2547" w:rsidRPr="00162C54">
        <w:rPr>
          <w:rFonts w:ascii="Arial" w:hAnsi="Arial" w:cs="Arial"/>
        </w:rPr>
        <w:t>E</w:t>
      </w:r>
      <w:r w:rsidR="00194B11" w:rsidRPr="00162C54">
        <w:rPr>
          <w:rFonts w:ascii="Arial" w:hAnsi="Arial" w:cs="Arial"/>
        </w:rPr>
        <w:t>mail</w:t>
      </w:r>
      <w:r w:rsidR="003E2547" w:rsidRPr="00162C54">
        <w:rPr>
          <w:rFonts w:ascii="Arial" w:hAnsi="Arial" w:cs="Arial"/>
        </w:rPr>
        <w:t xml:space="preserve"> </w:t>
      </w:r>
      <w:r w:rsidR="00194B11" w:rsidRPr="00162C54">
        <w:rPr>
          <w:rFonts w:ascii="Arial" w:hAnsi="Arial" w:cs="Arial"/>
        </w:rPr>
        <w:t>or text message.</w:t>
      </w:r>
    </w:p>
    <w:p w:rsidR="00194B11" w:rsidRPr="00162C54" w:rsidRDefault="0066272D" w:rsidP="00495318">
      <w:pPr>
        <w:spacing w:line="240" w:lineRule="auto"/>
        <w:rPr>
          <w:rFonts w:ascii="Arial" w:hAnsi="Arial" w:cs="Arial"/>
        </w:rPr>
      </w:pPr>
      <w:r>
        <w:rPr>
          <w:rFonts w:ascii="Arial" w:hAnsi="Arial" w:cs="Arial"/>
        </w:rPr>
        <w:t>If prospective</w:t>
      </w:r>
      <w:r w:rsidRPr="0066272D">
        <w:rPr>
          <w:rFonts w:ascii="Arial" w:hAnsi="Arial" w:cs="Arial"/>
          <w:b/>
        </w:rPr>
        <w:t xml:space="preserve"> beneficiaries</w:t>
      </w:r>
      <w:r w:rsidR="00194B11" w:rsidRPr="00162C54">
        <w:rPr>
          <w:rFonts w:ascii="Arial" w:hAnsi="Arial" w:cs="Arial"/>
        </w:rPr>
        <w:t xml:space="preserve"> do not supply the data we require and request from them we may not be</w:t>
      </w:r>
      <w:r>
        <w:rPr>
          <w:rFonts w:ascii="Arial" w:hAnsi="Arial" w:cs="Arial"/>
        </w:rPr>
        <w:t xml:space="preserve"> able access the services offered</w:t>
      </w:r>
      <w:proofErr w:type="gramStart"/>
      <w:r>
        <w:rPr>
          <w:rFonts w:ascii="Arial" w:hAnsi="Arial" w:cs="Arial"/>
        </w:rPr>
        <w:t>.</w:t>
      </w:r>
      <w:r w:rsidR="00194B11" w:rsidRPr="00162C54">
        <w:rPr>
          <w:rFonts w:ascii="Arial" w:hAnsi="Arial" w:cs="Arial"/>
        </w:rPr>
        <w:t>.</w:t>
      </w:r>
      <w:proofErr w:type="gramEnd"/>
    </w:p>
    <w:p w:rsidR="00194B11" w:rsidRPr="00162C54" w:rsidRDefault="00194B11" w:rsidP="00495318">
      <w:pPr>
        <w:spacing w:line="240" w:lineRule="auto"/>
        <w:rPr>
          <w:rFonts w:ascii="Arial" w:hAnsi="Arial" w:cs="Arial"/>
        </w:rPr>
      </w:pPr>
      <w:r w:rsidRPr="00162C54">
        <w:rPr>
          <w:rFonts w:ascii="Arial" w:hAnsi="Arial" w:cs="Arial"/>
          <w:b/>
        </w:rPr>
        <w:t>2</w:t>
      </w:r>
      <w:r w:rsidR="003923E7" w:rsidRPr="00162C54">
        <w:rPr>
          <w:rFonts w:ascii="Arial" w:hAnsi="Arial" w:cs="Arial"/>
          <w:b/>
        </w:rPr>
        <w:t>.</w:t>
      </w:r>
      <w:r w:rsidR="003923E7" w:rsidRPr="00C25620">
        <w:rPr>
          <w:rFonts w:ascii="Arial" w:hAnsi="Arial" w:cs="Arial"/>
          <w:b/>
        </w:rPr>
        <w:t>2</w:t>
      </w:r>
      <w:r w:rsidRPr="00162C54">
        <w:rPr>
          <w:rFonts w:ascii="Arial" w:hAnsi="Arial" w:cs="Arial"/>
        </w:rPr>
        <w:t xml:space="preserve"> </w:t>
      </w:r>
      <w:r w:rsidR="00516392" w:rsidRPr="00162C54">
        <w:rPr>
          <w:rFonts w:ascii="Arial" w:hAnsi="Arial" w:cs="Arial"/>
        </w:rPr>
        <w:t>T</w:t>
      </w:r>
      <w:r w:rsidRPr="00162C54">
        <w:rPr>
          <w:rFonts w:ascii="Arial" w:hAnsi="Arial" w:cs="Arial"/>
        </w:rPr>
        <w:t xml:space="preserve">he data we hold about members is necessary for </w:t>
      </w:r>
      <w:r w:rsidR="00516392" w:rsidRPr="00162C54">
        <w:rPr>
          <w:rFonts w:ascii="Arial" w:hAnsi="Arial" w:cs="Arial"/>
          <w:b/>
        </w:rPr>
        <w:t>“</w:t>
      </w:r>
      <w:r w:rsidRPr="00162C54">
        <w:rPr>
          <w:rFonts w:ascii="Arial" w:hAnsi="Arial" w:cs="Arial"/>
          <w:b/>
        </w:rPr>
        <w:t>legitimate interests</w:t>
      </w:r>
      <w:r w:rsidR="00516392" w:rsidRPr="00162C54">
        <w:rPr>
          <w:rFonts w:ascii="Arial" w:hAnsi="Arial" w:cs="Arial"/>
          <w:b/>
        </w:rPr>
        <w:t>”</w:t>
      </w:r>
      <w:r w:rsidRPr="00162C54">
        <w:rPr>
          <w:rFonts w:ascii="Arial" w:hAnsi="Arial" w:cs="Arial"/>
        </w:rPr>
        <w:t>.</w:t>
      </w:r>
    </w:p>
    <w:p w:rsidR="00775A3A" w:rsidRPr="00162C54" w:rsidRDefault="00194B11" w:rsidP="00495318">
      <w:pPr>
        <w:pStyle w:val="Default"/>
        <w:rPr>
          <w:sz w:val="22"/>
          <w:szCs w:val="22"/>
        </w:rPr>
      </w:pPr>
      <w:r w:rsidRPr="00162C54">
        <w:rPr>
          <w:sz w:val="22"/>
          <w:szCs w:val="22"/>
        </w:rPr>
        <w:t xml:space="preserve">According to the </w:t>
      </w:r>
      <w:r w:rsidRPr="00162C54">
        <w:rPr>
          <w:b/>
          <w:sz w:val="22"/>
          <w:szCs w:val="22"/>
        </w:rPr>
        <w:t>GDPR</w:t>
      </w:r>
      <w:r w:rsidRPr="00162C54">
        <w:rPr>
          <w:sz w:val="22"/>
          <w:szCs w:val="22"/>
        </w:rPr>
        <w:t>, legitimate interests can include our organisation’s own interests or broader socie</w:t>
      </w:r>
      <w:r w:rsidR="00A15BE0" w:rsidRPr="00162C54">
        <w:rPr>
          <w:sz w:val="22"/>
          <w:szCs w:val="22"/>
        </w:rPr>
        <w:t xml:space="preserve">tal benefits. Our </w:t>
      </w:r>
      <w:r w:rsidRPr="00162C54">
        <w:rPr>
          <w:sz w:val="22"/>
          <w:szCs w:val="22"/>
        </w:rPr>
        <w:t xml:space="preserve">own legitimate interests are set out in the </w:t>
      </w:r>
      <w:r w:rsidR="00CA67C9" w:rsidRPr="00162C54">
        <w:rPr>
          <w:b/>
          <w:sz w:val="22"/>
          <w:szCs w:val="22"/>
        </w:rPr>
        <w:t>“</w:t>
      </w:r>
      <w:r w:rsidR="001855EB" w:rsidRPr="00162C54">
        <w:rPr>
          <w:b/>
          <w:sz w:val="22"/>
          <w:szCs w:val="22"/>
        </w:rPr>
        <w:t>Memorandums and Articles</w:t>
      </w:r>
      <w:r w:rsidR="00CA67C9" w:rsidRPr="00162C54">
        <w:rPr>
          <w:b/>
          <w:sz w:val="22"/>
          <w:szCs w:val="22"/>
        </w:rPr>
        <w:t>”</w:t>
      </w:r>
      <w:r w:rsidRPr="00162C54">
        <w:rPr>
          <w:sz w:val="22"/>
          <w:szCs w:val="22"/>
        </w:rPr>
        <w:t xml:space="preserve"> of </w:t>
      </w:r>
      <w:r w:rsidR="001855EB" w:rsidRPr="00162C54">
        <w:rPr>
          <w:sz w:val="22"/>
          <w:szCs w:val="22"/>
        </w:rPr>
        <w:t>T</w:t>
      </w:r>
      <w:r w:rsidRPr="00162C54">
        <w:rPr>
          <w:sz w:val="22"/>
          <w:szCs w:val="22"/>
        </w:rPr>
        <w:t xml:space="preserve">he </w:t>
      </w:r>
      <w:r w:rsidR="001855EB" w:rsidRPr="00162C54">
        <w:rPr>
          <w:sz w:val="22"/>
          <w:szCs w:val="22"/>
        </w:rPr>
        <w:t>Broughton Trust</w:t>
      </w:r>
      <w:r w:rsidR="00A15BE0" w:rsidRPr="00162C54">
        <w:rPr>
          <w:sz w:val="22"/>
          <w:szCs w:val="22"/>
        </w:rPr>
        <w:t>,</w:t>
      </w:r>
      <w:r w:rsidRPr="00162C54">
        <w:rPr>
          <w:sz w:val="22"/>
          <w:szCs w:val="22"/>
        </w:rPr>
        <w:t xml:space="preserve"> </w:t>
      </w:r>
      <w:r w:rsidR="00CA67C9" w:rsidRPr="00162C54">
        <w:rPr>
          <w:sz w:val="22"/>
          <w:szCs w:val="22"/>
        </w:rPr>
        <w:t>which are:</w:t>
      </w:r>
      <w:r w:rsidRPr="00162C54">
        <w:rPr>
          <w:sz w:val="22"/>
          <w:szCs w:val="22"/>
        </w:rPr>
        <w:t xml:space="preserve"> </w:t>
      </w:r>
    </w:p>
    <w:p w:rsidR="001855EB" w:rsidRPr="00162C54" w:rsidRDefault="001855EB" w:rsidP="00495318">
      <w:pPr>
        <w:pStyle w:val="Default"/>
        <w:rPr>
          <w:sz w:val="22"/>
          <w:szCs w:val="22"/>
        </w:rPr>
      </w:pPr>
    </w:p>
    <w:p w:rsidR="001855EB" w:rsidRPr="00162C54" w:rsidRDefault="001855EB" w:rsidP="00495318">
      <w:pPr>
        <w:rPr>
          <w:rFonts w:ascii="Arial" w:hAnsi="Arial" w:cs="Arial"/>
          <w:b/>
        </w:rPr>
      </w:pPr>
      <w:r w:rsidRPr="00162C54">
        <w:rPr>
          <w:rFonts w:ascii="Arial" w:hAnsi="Arial" w:cs="Arial"/>
          <w:b/>
        </w:rPr>
        <w:t>Clause 3, of,</w:t>
      </w:r>
      <w:r w:rsidRPr="00162C54">
        <w:rPr>
          <w:rFonts w:ascii="Arial" w:hAnsi="Arial" w:cs="Arial"/>
        </w:rPr>
        <w:t xml:space="preserve"> </w:t>
      </w:r>
      <w:proofErr w:type="gramStart"/>
      <w:r w:rsidRPr="00162C54">
        <w:rPr>
          <w:rFonts w:ascii="Arial" w:hAnsi="Arial" w:cs="Arial"/>
          <w:b/>
        </w:rPr>
        <w:t>The</w:t>
      </w:r>
      <w:proofErr w:type="gramEnd"/>
      <w:r w:rsidRPr="00162C54">
        <w:rPr>
          <w:rFonts w:ascii="Arial" w:hAnsi="Arial" w:cs="Arial"/>
          <w:b/>
        </w:rPr>
        <w:t xml:space="preserve"> Broughton Trust; Memorandums and Articles.                   </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relief of poverty is such ways as may be thought fit;</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relief of unemployment;</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advancement of education, training, or retraining, particularly among unemployed people and providing work experience for the unemployed;</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technical assistance, business advice or consultancy in order to provide training and employment opportunities for unemployed people in cases of financial or other charitable need through help in setting up their own business or to existing businesses;</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creation of training and employment opportunities by the provision of workspace, buildings and/or land for use on favourable terms;</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To facilitate the improvement of housing in the public sector or in charitable ownership provided that such power shall not extend to relieving any local authorities or other bodies of statutory duty to provide or improve housing;</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lastRenderedPageBreak/>
        <w:t>The provision of facilities for recreational facilities for the public at large or those who by reason of their youth, age, infirmity or disablement, poverty or social or economic circumstances have need of such facilities;</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provision of childcare;</w:t>
      </w:r>
    </w:p>
    <w:p w:rsidR="001855EB" w:rsidRPr="00162C54" w:rsidRDefault="001855EB" w:rsidP="00495318">
      <w:pPr>
        <w:pStyle w:val="ListParagraph"/>
        <w:numPr>
          <w:ilvl w:val="0"/>
          <w:numId w:val="11"/>
        </w:numPr>
        <w:ind w:right="284"/>
        <w:rPr>
          <w:rFonts w:ascii="Arial" w:hAnsi="Arial" w:cs="Arial"/>
        </w:rPr>
      </w:pPr>
      <w:r w:rsidRPr="00162C54">
        <w:rPr>
          <w:rFonts w:ascii="Arial" w:hAnsi="Arial" w:cs="Arial"/>
        </w:rPr>
        <w:t>The promotion of public safety and prevention of crime; and such other   means as may from time to time be determined subject to the prior consent of the Charity Commission;</w:t>
      </w:r>
    </w:p>
    <w:p w:rsidR="001855EB" w:rsidRPr="00162C54" w:rsidRDefault="001855EB" w:rsidP="00495318">
      <w:pPr>
        <w:pStyle w:val="Default"/>
        <w:rPr>
          <w:rFonts w:eastAsiaTheme="minorHAnsi"/>
          <w:sz w:val="22"/>
          <w:szCs w:val="22"/>
          <w:lang w:eastAsia="en-US"/>
        </w:rPr>
      </w:pPr>
    </w:p>
    <w:p w:rsidR="00194B11" w:rsidRPr="00162C54" w:rsidRDefault="00194B11" w:rsidP="00495318">
      <w:pPr>
        <w:spacing w:line="240" w:lineRule="auto"/>
        <w:rPr>
          <w:rFonts w:ascii="Arial" w:hAnsi="Arial" w:cs="Arial"/>
        </w:rPr>
      </w:pPr>
      <w:r w:rsidRPr="00162C54">
        <w:rPr>
          <w:rFonts w:ascii="Arial" w:hAnsi="Arial" w:cs="Arial"/>
          <w:b/>
        </w:rPr>
        <w:t>2</w:t>
      </w:r>
      <w:r w:rsidR="003923E7" w:rsidRPr="00162C54">
        <w:rPr>
          <w:rFonts w:ascii="Arial" w:hAnsi="Arial" w:cs="Arial"/>
          <w:b/>
        </w:rPr>
        <w:t>.</w:t>
      </w:r>
      <w:r w:rsidR="003923E7" w:rsidRPr="00C25620">
        <w:rPr>
          <w:rFonts w:ascii="Arial" w:hAnsi="Arial" w:cs="Arial"/>
          <w:b/>
        </w:rPr>
        <w:t>3</w:t>
      </w:r>
      <w:r w:rsidR="004302CE" w:rsidRPr="00162C54">
        <w:rPr>
          <w:rFonts w:ascii="Arial" w:hAnsi="Arial" w:cs="Arial"/>
        </w:rPr>
        <w:t xml:space="preserve"> Based on our</w:t>
      </w:r>
      <w:r w:rsidR="009B2E5A" w:rsidRPr="009B2E5A">
        <w:rPr>
          <w:rFonts w:ascii="Arial" w:hAnsi="Arial" w:cs="Arial"/>
          <w:b/>
        </w:rPr>
        <w:t xml:space="preserve"> </w:t>
      </w:r>
      <w:r w:rsidR="009B2E5A" w:rsidRPr="009B2E5A">
        <w:rPr>
          <w:rFonts w:ascii="Arial" w:hAnsi="Arial" w:cs="Arial"/>
        </w:rPr>
        <w:t>Memorandums and Articles</w:t>
      </w:r>
      <w:r w:rsidR="004302CE" w:rsidRPr="00162C54">
        <w:rPr>
          <w:rFonts w:ascii="Arial" w:hAnsi="Arial" w:cs="Arial"/>
        </w:rPr>
        <w:t xml:space="preserve"> </w:t>
      </w:r>
      <w:r w:rsidRPr="00162C54">
        <w:rPr>
          <w:rFonts w:ascii="Arial" w:hAnsi="Arial" w:cs="Arial"/>
        </w:rPr>
        <w:t>we</w:t>
      </w:r>
      <w:r w:rsidR="0066272D">
        <w:rPr>
          <w:rFonts w:ascii="Arial" w:hAnsi="Arial" w:cs="Arial"/>
        </w:rPr>
        <w:t xml:space="preserve"> can legitimately use </w:t>
      </w:r>
      <w:r w:rsidR="0066272D" w:rsidRPr="0066272D">
        <w:rPr>
          <w:rFonts w:ascii="Arial" w:hAnsi="Arial" w:cs="Arial"/>
          <w:b/>
        </w:rPr>
        <w:t>beneficiaries’</w:t>
      </w:r>
      <w:r w:rsidRPr="00162C54">
        <w:rPr>
          <w:rFonts w:ascii="Arial" w:hAnsi="Arial" w:cs="Arial"/>
        </w:rPr>
        <w:t xml:space="preserve"> names</w:t>
      </w:r>
      <w:r w:rsidR="004302CE" w:rsidRPr="00162C54">
        <w:rPr>
          <w:rFonts w:ascii="Arial" w:hAnsi="Arial" w:cs="Arial"/>
        </w:rPr>
        <w:t>, addresses and email addresses</w:t>
      </w:r>
      <w:r w:rsidRPr="00162C54">
        <w:rPr>
          <w:rFonts w:ascii="Arial" w:hAnsi="Arial" w:cs="Arial"/>
        </w:rPr>
        <w:t xml:space="preserve"> and information about any skills or volunteering capacity offered, to contact them concerning the running of </w:t>
      </w:r>
      <w:r w:rsidR="001855EB" w:rsidRPr="00162C54">
        <w:rPr>
          <w:rFonts w:ascii="Arial" w:hAnsi="Arial" w:cs="Arial"/>
        </w:rPr>
        <w:t>The Trust and its services</w:t>
      </w:r>
      <w:r w:rsidRPr="00162C54">
        <w:rPr>
          <w:rFonts w:ascii="Arial" w:hAnsi="Arial" w:cs="Arial"/>
        </w:rPr>
        <w:t xml:space="preserve"> or about community events held </w:t>
      </w:r>
      <w:r w:rsidR="001855EB" w:rsidRPr="00162C54">
        <w:rPr>
          <w:rFonts w:ascii="Arial" w:hAnsi="Arial" w:cs="Arial"/>
        </w:rPr>
        <w:t>in its name</w:t>
      </w:r>
      <w:r w:rsidRPr="00162C54">
        <w:rPr>
          <w:rFonts w:ascii="Arial" w:hAnsi="Arial" w:cs="Arial"/>
        </w:rPr>
        <w:t>.</w:t>
      </w:r>
    </w:p>
    <w:p w:rsidR="00194B11" w:rsidRPr="00162C54" w:rsidRDefault="00194B11" w:rsidP="00495318">
      <w:pPr>
        <w:spacing w:line="240" w:lineRule="auto"/>
        <w:rPr>
          <w:rFonts w:ascii="Arial" w:hAnsi="Arial" w:cs="Arial"/>
        </w:rPr>
      </w:pPr>
      <w:r w:rsidRPr="00162C54">
        <w:rPr>
          <w:rFonts w:ascii="Arial" w:hAnsi="Arial" w:cs="Arial"/>
        </w:rPr>
        <w:t xml:space="preserve">In contacting members in this way, we are clear that: we have a legitimate interest in furthering our cause in this way; this interest does not override members’ rights as individuals; </w:t>
      </w:r>
      <w:r w:rsidR="0066272D" w:rsidRPr="0066272D">
        <w:rPr>
          <w:rFonts w:ascii="Arial" w:hAnsi="Arial" w:cs="Arial"/>
          <w:b/>
        </w:rPr>
        <w:t>beneficiaries</w:t>
      </w:r>
      <w:r w:rsidRPr="00162C54">
        <w:rPr>
          <w:rFonts w:ascii="Arial" w:hAnsi="Arial" w:cs="Arial"/>
        </w:rPr>
        <w:t xml:space="preserve"> would have a reasonable expectation that their data could be used in this way; use of this data is proportionate, non-intrusive and no harm is being done to </w:t>
      </w:r>
      <w:r w:rsidR="0066272D" w:rsidRPr="0066272D">
        <w:rPr>
          <w:rFonts w:ascii="Arial" w:hAnsi="Arial" w:cs="Arial"/>
          <w:b/>
        </w:rPr>
        <w:t>beneficiaries</w:t>
      </w:r>
      <w:r w:rsidRPr="00162C54">
        <w:rPr>
          <w:rFonts w:ascii="Arial" w:hAnsi="Arial" w:cs="Arial"/>
        </w:rPr>
        <w:t xml:space="preserve">; and it is a necessary way of reaching our </w:t>
      </w:r>
      <w:r w:rsidR="0066272D" w:rsidRPr="0066272D">
        <w:rPr>
          <w:rFonts w:ascii="Arial" w:hAnsi="Arial" w:cs="Arial"/>
          <w:b/>
        </w:rPr>
        <w:t>beneficiaries</w:t>
      </w:r>
      <w:r w:rsidRPr="00162C54">
        <w:rPr>
          <w:rFonts w:ascii="Arial" w:hAnsi="Arial" w:cs="Arial"/>
        </w:rPr>
        <w:t xml:space="preserve"> - we cannot simply rely on a general notice in the pub</w:t>
      </w:r>
      <w:r w:rsidR="00181E4F">
        <w:rPr>
          <w:rFonts w:ascii="Arial" w:hAnsi="Arial" w:cs="Arial"/>
        </w:rPr>
        <w:t xml:space="preserve"> or on our website, for example,</w:t>
      </w:r>
      <w:r w:rsidRPr="00162C54">
        <w:rPr>
          <w:rFonts w:ascii="Arial" w:hAnsi="Arial" w:cs="Arial"/>
        </w:rPr>
        <w:t xml:space="preserve"> </w:t>
      </w:r>
      <w:r w:rsidR="00181E4F">
        <w:rPr>
          <w:rFonts w:ascii="Arial" w:hAnsi="Arial" w:cs="Arial"/>
          <w:b/>
        </w:rPr>
        <w:t>b</w:t>
      </w:r>
      <w:r w:rsidR="0066272D" w:rsidRPr="0066272D">
        <w:rPr>
          <w:rFonts w:ascii="Arial" w:hAnsi="Arial" w:cs="Arial"/>
          <w:b/>
        </w:rPr>
        <w:t>eneficiaries</w:t>
      </w:r>
      <w:r w:rsidR="0066272D">
        <w:rPr>
          <w:rFonts w:ascii="Arial" w:hAnsi="Arial" w:cs="Arial"/>
        </w:rPr>
        <w:t>,</w:t>
      </w:r>
      <w:r w:rsidRPr="00162C54">
        <w:rPr>
          <w:rFonts w:ascii="Arial" w:hAnsi="Arial" w:cs="Arial"/>
        </w:rPr>
        <w:t xml:space="preserve"> still have the right to object to such mailings and if we cannot prove compelling legitimate grounds then they will be allowed to opt out of such mailings in future. They would still be inc</w:t>
      </w:r>
      <w:r w:rsidR="007402EE" w:rsidRPr="00162C54">
        <w:rPr>
          <w:rFonts w:ascii="Arial" w:hAnsi="Arial" w:cs="Arial"/>
        </w:rPr>
        <w:t xml:space="preserve">luded in other </w:t>
      </w:r>
      <w:r w:rsidR="00181E4F" w:rsidRPr="0066272D">
        <w:rPr>
          <w:rFonts w:ascii="Arial" w:hAnsi="Arial" w:cs="Arial"/>
          <w:b/>
        </w:rPr>
        <w:t>beneficiar</w:t>
      </w:r>
      <w:r w:rsidR="00181E4F">
        <w:rPr>
          <w:rFonts w:ascii="Arial" w:hAnsi="Arial" w:cs="Arial"/>
          <w:b/>
        </w:rPr>
        <w:t>y</w:t>
      </w:r>
      <w:r w:rsidR="00181E4F">
        <w:rPr>
          <w:rFonts w:ascii="Arial" w:hAnsi="Arial" w:cs="Arial"/>
        </w:rPr>
        <w:t xml:space="preserve"> </w:t>
      </w:r>
      <w:r w:rsidR="007402EE" w:rsidRPr="00162C54">
        <w:rPr>
          <w:rFonts w:ascii="Arial" w:hAnsi="Arial" w:cs="Arial"/>
        </w:rPr>
        <w:t xml:space="preserve">mailings. At no time will </w:t>
      </w:r>
      <w:r w:rsidR="0066272D" w:rsidRPr="0066272D">
        <w:rPr>
          <w:rFonts w:ascii="Arial" w:hAnsi="Arial" w:cs="Arial"/>
          <w:b/>
        </w:rPr>
        <w:t>beneficiaries</w:t>
      </w:r>
      <w:r w:rsidR="007402EE" w:rsidRPr="00162C54">
        <w:rPr>
          <w:rFonts w:ascii="Arial" w:hAnsi="Arial" w:cs="Arial"/>
        </w:rPr>
        <w:t xml:space="preserve"> details be passed on to any third party for financial gain or any other reason, excluding (7), </w:t>
      </w:r>
      <w:r w:rsidRPr="00162C54">
        <w:rPr>
          <w:rFonts w:ascii="Arial" w:hAnsi="Arial" w:cs="Arial"/>
        </w:rPr>
        <w:t>however.</w:t>
      </w:r>
    </w:p>
    <w:p w:rsidR="00194B11" w:rsidRPr="00162C54" w:rsidRDefault="00194B11" w:rsidP="00495318">
      <w:pPr>
        <w:spacing w:line="240" w:lineRule="auto"/>
        <w:rPr>
          <w:rFonts w:ascii="Arial" w:hAnsi="Arial" w:cs="Arial"/>
        </w:rPr>
      </w:pPr>
      <w:r w:rsidRPr="00162C54">
        <w:rPr>
          <w:rFonts w:ascii="Arial" w:hAnsi="Arial" w:cs="Arial"/>
          <w:b/>
        </w:rPr>
        <w:t>2</w:t>
      </w:r>
      <w:r w:rsidR="003923E7" w:rsidRPr="00162C54">
        <w:rPr>
          <w:rFonts w:ascii="Arial" w:hAnsi="Arial" w:cs="Arial"/>
          <w:b/>
        </w:rPr>
        <w:t>.</w:t>
      </w:r>
      <w:r w:rsidR="003923E7" w:rsidRPr="00C25620">
        <w:rPr>
          <w:rFonts w:ascii="Arial" w:hAnsi="Arial" w:cs="Arial"/>
          <w:b/>
        </w:rPr>
        <w:t>4</w:t>
      </w:r>
      <w:r w:rsidRPr="00162C54">
        <w:rPr>
          <w:rFonts w:ascii="Arial" w:hAnsi="Arial" w:cs="Arial"/>
        </w:rPr>
        <w:t xml:space="preserve"> On occasions we may deem it appropriate </w:t>
      </w:r>
      <w:r w:rsidR="001855EB" w:rsidRPr="00162C54">
        <w:rPr>
          <w:rFonts w:ascii="Arial" w:hAnsi="Arial" w:cs="Arial"/>
        </w:rPr>
        <w:t xml:space="preserve">to </w:t>
      </w:r>
      <w:r w:rsidRPr="00162C54">
        <w:rPr>
          <w:rFonts w:ascii="Arial" w:hAnsi="Arial" w:cs="Arial"/>
        </w:rPr>
        <w:t xml:space="preserve">contact members to pass on information relating to </w:t>
      </w:r>
      <w:r w:rsidR="00162C54" w:rsidRPr="00162C54">
        <w:rPr>
          <w:rFonts w:ascii="Arial" w:hAnsi="Arial" w:cs="Arial"/>
        </w:rPr>
        <w:t>t</w:t>
      </w:r>
      <w:r w:rsidR="001855EB" w:rsidRPr="00162C54">
        <w:rPr>
          <w:rFonts w:ascii="Arial" w:hAnsi="Arial" w:cs="Arial"/>
        </w:rPr>
        <w:t>he Trust or community events</w:t>
      </w:r>
      <w:r w:rsidRPr="00162C54">
        <w:rPr>
          <w:rFonts w:ascii="Arial" w:hAnsi="Arial" w:cs="Arial"/>
        </w:rPr>
        <w:t xml:space="preserve"> more generally, or about local </w:t>
      </w:r>
      <w:r w:rsidR="001855EB" w:rsidRPr="00162C54">
        <w:rPr>
          <w:rFonts w:ascii="Arial" w:hAnsi="Arial" w:cs="Arial"/>
        </w:rPr>
        <w:t xml:space="preserve">community issues or </w:t>
      </w:r>
      <w:r w:rsidRPr="00162C54">
        <w:rPr>
          <w:rFonts w:ascii="Arial" w:hAnsi="Arial" w:cs="Arial"/>
        </w:rPr>
        <w:t>that may be of interest.</w:t>
      </w:r>
    </w:p>
    <w:p w:rsidR="00194B11" w:rsidRPr="00162C54" w:rsidRDefault="007402EE" w:rsidP="00495318">
      <w:pPr>
        <w:spacing w:line="240" w:lineRule="auto"/>
        <w:rPr>
          <w:rFonts w:ascii="Arial" w:hAnsi="Arial" w:cs="Arial"/>
        </w:rPr>
      </w:pPr>
      <w:r w:rsidRPr="00162C54">
        <w:rPr>
          <w:rFonts w:ascii="Arial" w:hAnsi="Arial" w:cs="Arial"/>
        </w:rPr>
        <w:t>The appropriateness</w:t>
      </w:r>
      <w:r w:rsidR="00194B11" w:rsidRPr="00162C54">
        <w:rPr>
          <w:rFonts w:ascii="Arial" w:hAnsi="Arial" w:cs="Arial"/>
        </w:rPr>
        <w:t xml:space="preserve"> of this will be looked at on a case</w:t>
      </w:r>
      <w:r w:rsidRPr="00162C54">
        <w:rPr>
          <w:rFonts w:ascii="Arial" w:hAnsi="Arial" w:cs="Arial"/>
        </w:rPr>
        <w:t>-by-case basis by members of the</w:t>
      </w:r>
      <w:r w:rsidR="00194B11" w:rsidRPr="00162C54">
        <w:rPr>
          <w:rFonts w:ascii="Arial" w:hAnsi="Arial" w:cs="Arial"/>
        </w:rPr>
        <w:t xml:space="preserve"> Board, who would consider whether there was a reasonable chance that: </w:t>
      </w:r>
      <w:r w:rsidR="009036ED" w:rsidRPr="0066272D">
        <w:rPr>
          <w:rFonts w:ascii="Arial" w:hAnsi="Arial" w:cs="Arial"/>
          <w:b/>
        </w:rPr>
        <w:t>beneficiaries</w:t>
      </w:r>
      <w:r w:rsidR="009036ED">
        <w:rPr>
          <w:rFonts w:ascii="Arial" w:hAnsi="Arial" w:cs="Arial"/>
        </w:rPr>
        <w:t xml:space="preserve"> </w:t>
      </w:r>
      <w:r w:rsidR="00194B11" w:rsidRPr="00162C54">
        <w:rPr>
          <w:rFonts w:ascii="Arial" w:hAnsi="Arial" w:cs="Arial"/>
        </w:rPr>
        <w:t>would be interested in these communications, that they would be proportionate use</w:t>
      </w:r>
      <w:r w:rsidR="009036ED">
        <w:rPr>
          <w:rFonts w:ascii="Arial" w:hAnsi="Arial" w:cs="Arial"/>
        </w:rPr>
        <w:t xml:space="preserve"> of</w:t>
      </w:r>
      <w:r w:rsidR="00194B11" w:rsidRPr="00162C54">
        <w:rPr>
          <w:rFonts w:ascii="Arial" w:hAnsi="Arial" w:cs="Arial"/>
        </w:rPr>
        <w:t xml:space="preserve"> </w:t>
      </w:r>
      <w:r w:rsidR="009036ED" w:rsidRPr="0066272D">
        <w:rPr>
          <w:rFonts w:ascii="Arial" w:hAnsi="Arial" w:cs="Arial"/>
          <w:b/>
        </w:rPr>
        <w:t>beneficiaries</w:t>
      </w:r>
      <w:r w:rsidR="009036ED">
        <w:rPr>
          <w:rFonts w:ascii="Arial" w:hAnsi="Arial" w:cs="Arial"/>
        </w:rPr>
        <w:t xml:space="preserve"> </w:t>
      </w:r>
      <w:r w:rsidR="00194B11" w:rsidRPr="00162C54">
        <w:rPr>
          <w:rFonts w:ascii="Arial" w:hAnsi="Arial" w:cs="Arial"/>
        </w:rPr>
        <w:t xml:space="preserve">data, that they would have minimal privacy impact, and that </w:t>
      </w:r>
      <w:r w:rsidR="009036ED" w:rsidRPr="0066272D">
        <w:rPr>
          <w:rFonts w:ascii="Arial" w:hAnsi="Arial" w:cs="Arial"/>
          <w:b/>
        </w:rPr>
        <w:t>beneficiaries</w:t>
      </w:r>
      <w:r w:rsidR="009036ED" w:rsidRPr="00162C54">
        <w:rPr>
          <w:rFonts w:ascii="Arial" w:hAnsi="Arial" w:cs="Arial"/>
        </w:rPr>
        <w:t xml:space="preserve"> </w:t>
      </w:r>
      <w:r w:rsidR="00194B11" w:rsidRPr="00162C54">
        <w:rPr>
          <w:rFonts w:ascii="Arial" w:hAnsi="Arial" w:cs="Arial"/>
        </w:rPr>
        <w:t>would not be surprised by, or be likely to object to, them. Their consideration wi</w:t>
      </w:r>
      <w:r w:rsidR="00162C54" w:rsidRPr="00162C54">
        <w:rPr>
          <w:rFonts w:ascii="Arial" w:hAnsi="Arial" w:cs="Arial"/>
        </w:rPr>
        <w:t xml:space="preserve">ll be informed by the Trust’s </w:t>
      </w:r>
      <w:r w:rsidR="00162C54" w:rsidRPr="00162C54">
        <w:rPr>
          <w:rFonts w:ascii="Arial" w:hAnsi="Arial" w:cs="Arial"/>
          <w:b/>
        </w:rPr>
        <w:t>Memorandums and Articles</w:t>
      </w:r>
      <w:r w:rsidR="00194B11" w:rsidRPr="00162C54">
        <w:rPr>
          <w:rFonts w:ascii="Arial" w:hAnsi="Arial" w:cs="Arial"/>
        </w:rPr>
        <w:t xml:space="preserve">, including working together for the sustainable development of our own local </w:t>
      </w:r>
      <w:r w:rsidR="00162C54" w:rsidRPr="00162C54">
        <w:rPr>
          <w:rFonts w:ascii="Arial" w:hAnsi="Arial" w:cs="Arial"/>
        </w:rPr>
        <w:t>communities</w:t>
      </w:r>
      <w:r w:rsidR="00194B11" w:rsidRPr="00162C54">
        <w:rPr>
          <w:rFonts w:ascii="Arial" w:hAnsi="Arial" w:cs="Arial"/>
        </w:rPr>
        <w:t>.</w:t>
      </w:r>
    </w:p>
    <w:p w:rsidR="00194B11" w:rsidRPr="00162C54" w:rsidRDefault="00194B11" w:rsidP="00495318">
      <w:pPr>
        <w:spacing w:line="240" w:lineRule="auto"/>
        <w:rPr>
          <w:rFonts w:ascii="Arial" w:hAnsi="Arial" w:cs="Arial"/>
        </w:rPr>
      </w:pPr>
      <w:r w:rsidRPr="00162C54">
        <w:rPr>
          <w:rFonts w:ascii="Arial" w:hAnsi="Arial" w:cs="Arial"/>
        </w:rPr>
        <w:t xml:space="preserve">If </w:t>
      </w:r>
      <w:r w:rsidR="009036ED" w:rsidRPr="0066272D">
        <w:rPr>
          <w:rFonts w:ascii="Arial" w:hAnsi="Arial" w:cs="Arial"/>
          <w:b/>
        </w:rPr>
        <w:t>beneficiaries</w:t>
      </w:r>
      <w:r w:rsidR="009036ED" w:rsidRPr="00162C54">
        <w:rPr>
          <w:rFonts w:ascii="Arial" w:hAnsi="Arial" w:cs="Arial"/>
        </w:rPr>
        <w:t xml:space="preserve"> </w:t>
      </w:r>
      <w:r w:rsidRPr="00162C54">
        <w:rPr>
          <w:rFonts w:ascii="Arial" w:hAnsi="Arial" w:cs="Arial"/>
        </w:rPr>
        <w:t xml:space="preserve">do object to their details having been used for this purpose then we will opt them out of future such mailing lists. They would still be included in other </w:t>
      </w:r>
      <w:r w:rsidR="009036ED" w:rsidRPr="0066272D">
        <w:rPr>
          <w:rFonts w:ascii="Arial" w:hAnsi="Arial" w:cs="Arial"/>
          <w:b/>
        </w:rPr>
        <w:t>beneficiar</w:t>
      </w:r>
      <w:r w:rsidR="009036ED">
        <w:rPr>
          <w:rFonts w:ascii="Arial" w:hAnsi="Arial" w:cs="Arial"/>
          <w:b/>
        </w:rPr>
        <w:t>y</w:t>
      </w:r>
      <w:r w:rsidR="009036ED">
        <w:rPr>
          <w:rFonts w:ascii="Arial" w:hAnsi="Arial" w:cs="Arial"/>
        </w:rPr>
        <w:t xml:space="preserve"> </w:t>
      </w:r>
      <w:r w:rsidRPr="00162C54">
        <w:rPr>
          <w:rFonts w:ascii="Arial" w:hAnsi="Arial" w:cs="Arial"/>
        </w:rPr>
        <w:t>mailings, however.</w:t>
      </w:r>
    </w:p>
    <w:p w:rsidR="00194B11" w:rsidRPr="00162C54" w:rsidRDefault="00194B11" w:rsidP="00495318">
      <w:pPr>
        <w:spacing w:line="240" w:lineRule="auto"/>
        <w:rPr>
          <w:rFonts w:ascii="Arial" w:hAnsi="Arial" w:cs="Arial"/>
        </w:rPr>
      </w:pPr>
      <w:r w:rsidRPr="00162C54">
        <w:rPr>
          <w:rFonts w:ascii="Arial" w:hAnsi="Arial" w:cs="Arial"/>
          <w:b/>
        </w:rPr>
        <w:t>3.</w:t>
      </w:r>
      <w:r w:rsidRPr="00162C54">
        <w:rPr>
          <w:rFonts w:ascii="Arial" w:hAnsi="Arial" w:cs="Arial"/>
        </w:rPr>
        <w:t xml:space="preserve"> If in </w:t>
      </w:r>
      <w:r w:rsidR="00DB379B">
        <w:rPr>
          <w:rFonts w:ascii="Arial" w:hAnsi="Arial" w:cs="Arial"/>
        </w:rPr>
        <w:t xml:space="preserve">the future we intend to process </w:t>
      </w:r>
      <w:r w:rsidR="00DB379B" w:rsidRPr="0066272D">
        <w:rPr>
          <w:rFonts w:ascii="Arial" w:hAnsi="Arial" w:cs="Arial"/>
          <w:b/>
        </w:rPr>
        <w:t>beneficiaries</w:t>
      </w:r>
      <w:r w:rsidRPr="00162C54">
        <w:rPr>
          <w:rFonts w:ascii="Arial" w:hAnsi="Arial" w:cs="Arial"/>
        </w:rPr>
        <w:t>’ personal data for a purpose other than those described above we will provide them with information on that purpose and any other relevant information. Where consent is required we will seek it - and they may then withdraw, at any time, any consent given.</w:t>
      </w:r>
    </w:p>
    <w:p w:rsidR="00194B11" w:rsidRPr="00162C54" w:rsidRDefault="00194B11" w:rsidP="00495318">
      <w:pPr>
        <w:spacing w:line="240" w:lineRule="auto"/>
        <w:rPr>
          <w:rFonts w:ascii="Arial" w:hAnsi="Arial" w:cs="Arial"/>
        </w:rPr>
      </w:pPr>
      <w:r w:rsidRPr="00162C54">
        <w:rPr>
          <w:rFonts w:ascii="Arial" w:hAnsi="Arial" w:cs="Arial"/>
          <w:b/>
        </w:rPr>
        <w:t>4.</w:t>
      </w:r>
      <w:r w:rsidRPr="00162C54">
        <w:rPr>
          <w:rFonts w:ascii="Arial" w:hAnsi="Arial" w:cs="Arial"/>
        </w:rPr>
        <w:t xml:space="preserve"> We will store </w:t>
      </w:r>
      <w:r w:rsidR="00DB379B" w:rsidRPr="0066272D">
        <w:rPr>
          <w:rFonts w:ascii="Arial" w:hAnsi="Arial" w:cs="Arial"/>
          <w:b/>
        </w:rPr>
        <w:t>beneficiaries</w:t>
      </w:r>
      <w:r w:rsidRPr="00162C54">
        <w:rPr>
          <w:rFonts w:ascii="Arial" w:hAnsi="Arial" w:cs="Arial"/>
        </w:rPr>
        <w:t xml:space="preserve">’ personal data for a period of 6 years from the time that they cease to be a </w:t>
      </w:r>
      <w:r w:rsidR="00DB379B" w:rsidRPr="0066272D">
        <w:rPr>
          <w:rFonts w:ascii="Arial" w:hAnsi="Arial" w:cs="Arial"/>
          <w:b/>
        </w:rPr>
        <w:t>beneficiar</w:t>
      </w:r>
      <w:r w:rsidR="00DB379B">
        <w:rPr>
          <w:rFonts w:ascii="Arial" w:hAnsi="Arial" w:cs="Arial"/>
          <w:b/>
        </w:rPr>
        <w:t>y</w:t>
      </w:r>
      <w:r w:rsidR="00DB379B" w:rsidRPr="00162C54">
        <w:rPr>
          <w:rFonts w:ascii="Arial" w:hAnsi="Arial" w:cs="Arial"/>
        </w:rPr>
        <w:t xml:space="preserve"> </w:t>
      </w:r>
      <w:r w:rsidRPr="00162C54">
        <w:rPr>
          <w:rFonts w:ascii="Arial" w:hAnsi="Arial" w:cs="Arial"/>
        </w:rPr>
        <w:t xml:space="preserve">of </w:t>
      </w:r>
      <w:r w:rsidR="00162C54" w:rsidRPr="00162C54">
        <w:rPr>
          <w:rFonts w:ascii="Arial" w:hAnsi="Arial" w:cs="Arial"/>
        </w:rPr>
        <w:t>The Broughton Trust</w:t>
      </w:r>
      <w:r w:rsidRPr="00162C54">
        <w:rPr>
          <w:rFonts w:ascii="Arial" w:hAnsi="Arial" w:cs="Arial"/>
        </w:rPr>
        <w:t>. This is to enable us to meet our legal requirements in terms of any financial or other inves</w:t>
      </w:r>
      <w:r w:rsidR="00DB379B">
        <w:rPr>
          <w:rFonts w:ascii="Arial" w:hAnsi="Arial" w:cs="Arial"/>
        </w:rPr>
        <w:t>tigation.</w:t>
      </w:r>
    </w:p>
    <w:p w:rsidR="00194B11" w:rsidRPr="00162C54" w:rsidRDefault="00194B11" w:rsidP="00495318">
      <w:pPr>
        <w:spacing w:line="240" w:lineRule="auto"/>
        <w:rPr>
          <w:rFonts w:ascii="Arial" w:hAnsi="Arial" w:cs="Arial"/>
        </w:rPr>
      </w:pPr>
      <w:r w:rsidRPr="00162C54">
        <w:rPr>
          <w:rFonts w:ascii="Arial" w:hAnsi="Arial" w:cs="Arial"/>
          <w:b/>
        </w:rPr>
        <w:t>5.</w:t>
      </w:r>
      <w:r w:rsidRPr="00162C54">
        <w:rPr>
          <w:rFonts w:ascii="Arial" w:hAnsi="Arial" w:cs="Arial"/>
        </w:rPr>
        <w:t xml:space="preserve"> We will hold all data securely, whether it is stored on paper or in electronic format.</w:t>
      </w:r>
    </w:p>
    <w:p w:rsidR="0025288B" w:rsidRPr="00162C54" w:rsidRDefault="0043325C" w:rsidP="00495318">
      <w:pPr>
        <w:spacing w:line="240" w:lineRule="auto"/>
        <w:rPr>
          <w:rFonts w:ascii="Arial" w:hAnsi="Arial" w:cs="Arial"/>
        </w:rPr>
      </w:pPr>
      <w:r>
        <w:rPr>
          <w:rFonts w:ascii="Arial" w:hAnsi="Arial" w:cs="Arial"/>
          <w:b/>
        </w:rPr>
        <w:t>6</w:t>
      </w:r>
      <w:r w:rsidR="00194B11" w:rsidRPr="00162C54">
        <w:rPr>
          <w:rFonts w:ascii="Arial" w:hAnsi="Arial" w:cs="Arial"/>
          <w:b/>
        </w:rPr>
        <w:t>.</w:t>
      </w:r>
      <w:r w:rsidR="00194B11" w:rsidRPr="00162C54">
        <w:rPr>
          <w:rFonts w:ascii="Arial" w:hAnsi="Arial" w:cs="Arial"/>
        </w:rPr>
        <w:t xml:space="preserve"> We will only disclose information about </w:t>
      </w:r>
      <w:r w:rsidR="00DB379B" w:rsidRPr="0066272D">
        <w:rPr>
          <w:rFonts w:ascii="Arial" w:hAnsi="Arial" w:cs="Arial"/>
          <w:b/>
        </w:rPr>
        <w:t>beneficiaries</w:t>
      </w:r>
      <w:r w:rsidR="00194B11" w:rsidRPr="00162C54">
        <w:rPr>
          <w:rFonts w:ascii="Arial" w:hAnsi="Arial" w:cs="Arial"/>
        </w:rPr>
        <w:t xml:space="preserve"> to other third parties if we are legally obliged to do so. This may inclu</w:t>
      </w:r>
      <w:r w:rsidR="009157F2">
        <w:rPr>
          <w:rFonts w:ascii="Arial" w:hAnsi="Arial" w:cs="Arial"/>
        </w:rPr>
        <w:t>de regulatory bodies such as Companies House</w:t>
      </w:r>
      <w:r w:rsidR="00194B11" w:rsidRPr="00162C54">
        <w:rPr>
          <w:rFonts w:ascii="Arial" w:hAnsi="Arial" w:cs="Arial"/>
        </w:rPr>
        <w:t xml:space="preserve"> and </w:t>
      </w:r>
      <w:r w:rsidR="00DB379B">
        <w:rPr>
          <w:rFonts w:ascii="Arial" w:hAnsi="Arial" w:cs="Arial"/>
        </w:rPr>
        <w:t>project funders</w:t>
      </w:r>
      <w:r w:rsidR="00194B11" w:rsidRPr="00162C54">
        <w:rPr>
          <w:rFonts w:ascii="Arial" w:hAnsi="Arial" w:cs="Arial"/>
        </w:rPr>
        <w:t>.</w:t>
      </w:r>
    </w:p>
    <w:p w:rsidR="00194B11" w:rsidRPr="00162C54" w:rsidRDefault="0043325C" w:rsidP="00495318">
      <w:pPr>
        <w:spacing w:line="240" w:lineRule="auto"/>
        <w:rPr>
          <w:rFonts w:ascii="Arial" w:hAnsi="Arial" w:cs="Arial"/>
        </w:rPr>
      </w:pPr>
      <w:r>
        <w:rPr>
          <w:rFonts w:ascii="Arial" w:hAnsi="Arial" w:cs="Arial"/>
          <w:b/>
        </w:rPr>
        <w:lastRenderedPageBreak/>
        <w:t>7</w:t>
      </w:r>
      <w:r w:rsidR="00194B11" w:rsidRPr="00162C54">
        <w:rPr>
          <w:rFonts w:ascii="Arial" w:hAnsi="Arial" w:cs="Arial"/>
          <w:b/>
        </w:rPr>
        <w:t>.</w:t>
      </w:r>
      <w:r w:rsidR="00194B11" w:rsidRPr="00162C54">
        <w:rPr>
          <w:rFonts w:ascii="Arial" w:hAnsi="Arial" w:cs="Arial"/>
        </w:rPr>
        <w:t xml:space="preserve"> Where we have to disclose information about </w:t>
      </w:r>
      <w:r w:rsidR="00DB379B" w:rsidRPr="0066272D">
        <w:rPr>
          <w:rFonts w:ascii="Arial" w:hAnsi="Arial" w:cs="Arial"/>
          <w:b/>
        </w:rPr>
        <w:t>beneficiaries</w:t>
      </w:r>
      <w:r w:rsidR="00DB379B" w:rsidRPr="00162C54">
        <w:rPr>
          <w:rFonts w:ascii="Arial" w:hAnsi="Arial" w:cs="Arial"/>
        </w:rPr>
        <w:t xml:space="preserve"> </w:t>
      </w:r>
      <w:r w:rsidR="00194B11" w:rsidRPr="00162C54">
        <w:rPr>
          <w:rFonts w:ascii="Arial" w:hAnsi="Arial" w:cs="Arial"/>
        </w:rPr>
        <w:t>to third parties we will do it securely.</w:t>
      </w:r>
    </w:p>
    <w:p w:rsidR="00194B11" w:rsidRPr="00162C54" w:rsidRDefault="0043325C" w:rsidP="00495318">
      <w:pPr>
        <w:spacing w:line="240" w:lineRule="auto"/>
        <w:rPr>
          <w:rFonts w:ascii="Arial" w:hAnsi="Arial" w:cs="Arial"/>
        </w:rPr>
      </w:pPr>
      <w:r>
        <w:rPr>
          <w:rFonts w:ascii="Arial" w:hAnsi="Arial" w:cs="Arial"/>
          <w:b/>
        </w:rPr>
        <w:t>8</w:t>
      </w:r>
      <w:r w:rsidR="00194B11" w:rsidRPr="00162C54">
        <w:rPr>
          <w:rFonts w:ascii="Arial" w:hAnsi="Arial" w:cs="Arial"/>
          <w:b/>
        </w:rPr>
        <w:t>.</w:t>
      </w:r>
      <w:r w:rsidR="00194B11" w:rsidRPr="00162C54">
        <w:rPr>
          <w:rFonts w:ascii="Arial" w:hAnsi="Arial" w:cs="Arial"/>
        </w:rPr>
        <w:t xml:space="preserve"> For the avoidance of doubt, we will not pass </w:t>
      </w:r>
      <w:r w:rsidR="00DB379B" w:rsidRPr="0066272D">
        <w:rPr>
          <w:rFonts w:ascii="Arial" w:hAnsi="Arial" w:cs="Arial"/>
          <w:b/>
        </w:rPr>
        <w:t>beneficiaries</w:t>
      </w:r>
      <w:r w:rsidR="00DB379B">
        <w:rPr>
          <w:rFonts w:ascii="Arial" w:hAnsi="Arial" w:cs="Arial"/>
        </w:rPr>
        <w:t xml:space="preserve"> </w:t>
      </w:r>
      <w:r w:rsidR="00194B11" w:rsidRPr="00162C54">
        <w:rPr>
          <w:rFonts w:ascii="Arial" w:hAnsi="Arial" w:cs="Arial"/>
        </w:rPr>
        <w:t>data on to any third party for marketing purposes.</w:t>
      </w:r>
    </w:p>
    <w:p w:rsidR="00194B11" w:rsidRPr="00162C54" w:rsidRDefault="0043325C" w:rsidP="00495318">
      <w:pPr>
        <w:spacing w:line="240" w:lineRule="auto"/>
        <w:rPr>
          <w:rFonts w:ascii="Arial" w:hAnsi="Arial" w:cs="Arial"/>
        </w:rPr>
      </w:pPr>
      <w:r>
        <w:rPr>
          <w:rFonts w:ascii="Arial" w:hAnsi="Arial" w:cs="Arial"/>
          <w:b/>
        </w:rPr>
        <w:t>9</w:t>
      </w:r>
      <w:r w:rsidR="00194B11" w:rsidRPr="00162C54">
        <w:rPr>
          <w:rFonts w:ascii="Arial" w:hAnsi="Arial" w:cs="Arial"/>
          <w:b/>
        </w:rPr>
        <w:t>.</w:t>
      </w:r>
      <w:r w:rsidR="00315384" w:rsidRPr="00162C54">
        <w:rPr>
          <w:rFonts w:ascii="Arial" w:hAnsi="Arial" w:cs="Arial"/>
          <w:b/>
        </w:rPr>
        <w:t xml:space="preserve"> </w:t>
      </w:r>
      <w:r w:rsidR="00194B11" w:rsidRPr="00162C54">
        <w:rPr>
          <w:rFonts w:ascii="Arial" w:hAnsi="Arial" w:cs="Arial"/>
        </w:rPr>
        <w:t xml:space="preserve">Under the </w:t>
      </w:r>
      <w:r w:rsidR="00194B11" w:rsidRPr="00162C54">
        <w:rPr>
          <w:rFonts w:ascii="Arial" w:hAnsi="Arial" w:cs="Arial"/>
          <w:b/>
        </w:rPr>
        <w:t>G</w:t>
      </w:r>
      <w:r w:rsidR="00194B11" w:rsidRPr="00162C54">
        <w:rPr>
          <w:rFonts w:ascii="Arial" w:hAnsi="Arial" w:cs="Arial"/>
        </w:rPr>
        <w:t xml:space="preserve">eneral </w:t>
      </w:r>
      <w:r w:rsidR="00194B11" w:rsidRPr="00162C54">
        <w:rPr>
          <w:rFonts w:ascii="Arial" w:hAnsi="Arial" w:cs="Arial"/>
          <w:b/>
        </w:rPr>
        <w:t>D</w:t>
      </w:r>
      <w:r w:rsidR="00194B11" w:rsidRPr="00162C54">
        <w:rPr>
          <w:rFonts w:ascii="Arial" w:hAnsi="Arial" w:cs="Arial"/>
        </w:rPr>
        <w:t xml:space="preserve">ata </w:t>
      </w:r>
      <w:r w:rsidR="00194B11" w:rsidRPr="00162C54">
        <w:rPr>
          <w:rFonts w:ascii="Arial" w:hAnsi="Arial" w:cs="Arial"/>
          <w:b/>
        </w:rPr>
        <w:t>P</w:t>
      </w:r>
      <w:r w:rsidR="00194B11" w:rsidRPr="00162C54">
        <w:rPr>
          <w:rFonts w:ascii="Arial" w:hAnsi="Arial" w:cs="Arial"/>
        </w:rPr>
        <w:t xml:space="preserve">rotection </w:t>
      </w:r>
      <w:r w:rsidR="00194B11" w:rsidRPr="00162C54">
        <w:rPr>
          <w:rFonts w:ascii="Arial" w:hAnsi="Arial" w:cs="Arial"/>
          <w:b/>
        </w:rPr>
        <w:t>R</w:t>
      </w:r>
      <w:r w:rsidR="00194B11" w:rsidRPr="00162C54">
        <w:rPr>
          <w:rFonts w:ascii="Arial" w:hAnsi="Arial" w:cs="Arial"/>
        </w:rPr>
        <w:t xml:space="preserve">egulation </w:t>
      </w:r>
      <w:r w:rsidR="00194B11" w:rsidRPr="00162C54">
        <w:rPr>
          <w:rFonts w:ascii="Arial" w:hAnsi="Arial" w:cs="Arial"/>
          <w:b/>
        </w:rPr>
        <w:t>(GDPR)</w:t>
      </w:r>
      <w:r w:rsidR="00194B11" w:rsidRPr="00162C54">
        <w:rPr>
          <w:rFonts w:ascii="Arial" w:hAnsi="Arial" w:cs="Arial"/>
        </w:rPr>
        <w:t xml:space="preserve"> and The </w:t>
      </w:r>
      <w:r w:rsidR="00194B11" w:rsidRPr="00162C54">
        <w:rPr>
          <w:rFonts w:ascii="Arial" w:hAnsi="Arial" w:cs="Arial"/>
          <w:b/>
        </w:rPr>
        <w:t>D</w:t>
      </w:r>
      <w:r w:rsidR="00194B11" w:rsidRPr="00162C54">
        <w:rPr>
          <w:rFonts w:ascii="Arial" w:hAnsi="Arial" w:cs="Arial"/>
        </w:rPr>
        <w:t xml:space="preserve">ata </w:t>
      </w:r>
      <w:r w:rsidR="00194B11" w:rsidRPr="00162C54">
        <w:rPr>
          <w:rFonts w:ascii="Arial" w:hAnsi="Arial" w:cs="Arial"/>
          <w:b/>
        </w:rPr>
        <w:t>P</w:t>
      </w:r>
      <w:r w:rsidR="00194B11" w:rsidRPr="00162C54">
        <w:rPr>
          <w:rFonts w:ascii="Arial" w:hAnsi="Arial" w:cs="Arial"/>
        </w:rPr>
        <w:t xml:space="preserve">rotection </w:t>
      </w:r>
      <w:r w:rsidR="00194B11" w:rsidRPr="00162C54">
        <w:rPr>
          <w:rFonts w:ascii="Arial" w:hAnsi="Arial" w:cs="Arial"/>
          <w:b/>
        </w:rPr>
        <w:t>A</w:t>
      </w:r>
      <w:r w:rsidR="00194B11" w:rsidRPr="00162C54">
        <w:rPr>
          <w:rFonts w:ascii="Arial" w:hAnsi="Arial" w:cs="Arial"/>
        </w:rPr>
        <w:t xml:space="preserve">ct </w:t>
      </w:r>
      <w:r w:rsidR="00194B11" w:rsidRPr="00162C54">
        <w:rPr>
          <w:rFonts w:ascii="Arial" w:hAnsi="Arial" w:cs="Arial"/>
          <w:b/>
        </w:rPr>
        <w:t>(DPA)</w:t>
      </w:r>
      <w:r w:rsidR="00194B11" w:rsidRPr="00162C54">
        <w:rPr>
          <w:rFonts w:ascii="Arial" w:hAnsi="Arial" w:cs="Arial"/>
        </w:rPr>
        <w:t xml:space="preserve"> </w:t>
      </w:r>
      <w:r w:rsidR="00DB379B" w:rsidRPr="0066272D">
        <w:rPr>
          <w:rFonts w:ascii="Arial" w:hAnsi="Arial" w:cs="Arial"/>
          <w:b/>
        </w:rPr>
        <w:t>beneficiaries</w:t>
      </w:r>
      <w:r w:rsidR="00194B11" w:rsidRPr="00162C54">
        <w:rPr>
          <w:rFonts w:ascii="Arial" w:hAnsi="Arial" w:cs="Arial"/>
        </w:rPr>
        <w:t xml:space="preserve"> have a number of rights with regard to their personal data. They have the right to:</w:t>
      </w:r>
    </w:p>
    <w:p w:rsidR="00DB205D" w:rsidRPr="00162C54" w:rsidRDefault="00194B11" w:rsidP="00495318">
      <w:pPr>
        <w:pStyle w:val="ListParagraph"/>
        <w:numPr>
          <w:ilvl w:val="0"/>
          <w:numId w:val="1"/>
        </w:numPr>
        <w:spacing w:line="240" w:lineRule="auto"/>
        <w:rPr>
          <w:rFonts w:ascii="Arial" w:eastAsiaTheme="minorHAnsi" w:hAnsi="Arial" w:cs="Arial"/>
          <w:b/>
          <w:lang w:eastAsia="en-US"/>
        </w:rPr>
      </w:pPr>
      <w:r w:rsidRPr="00162C54">
        <w:rPr>
          <w:rFonts w:ascii="Arial" w:hAnsi="Arial" w:cs="Arial"/>
        </w:rPr>
        <w:t>Request to see what information we are holding about them.</w:t>
      </w:r>
    </w:p>
    <w:p w:rsidR="00B81285" w:rsidRPr="00162C54" w:rsidRDefault="00B81285" w:rsidP="00495318">
      <w:pPr>
        <w:pStyle w:val="ListParagraph"/>
        <w:numPr>
          <w:ilvl w:val="0"/>
          <w:numId w:val="3"/>
        </w:numPr>
        <w:spacing w:line="240" w:lineRule="auto"/>
        <w:rPr>
          <w:rFonts w:ascii="Arial" w:eastAsiaTheme="minorHAnsi" w:hAnsi="Arial" w:cs="Arial"/>
          <w:lang w:eastAsia="en-US"/>
        </w:rPr>
      </w:pPr>
      <w:r w:rsidRPr="00162C54">
        <w:rPr>
          <w:rFonts w:ascii="Arial" w:eastAsiaTheme="minorHAnsi" w:hAnsi="Arial" w:cs="Arial"/>
          <w:lang w:eastAsia="en-US"/>
        </w:rPr>
        <w:t>Request that we correct any wrong or incomplete information about them.</w:t>
      </w:r>
    </w:p>
    <w:p w:rsidR="00B81285" w:rsidRPr="00162C54" w:rsidRDefault="00B81285" w:rsidP="00495318">
      <w:pPr>
        <w:pStyle w:val="ListParagraph"/>
        <w:numPr>
          <w:ilvl w:val="0"/>
          <w:numId w:val="5"/>
        </w:numPr>
        <w:spacing w:after="160" w:line="240" w:lineRule="auto"/>
        <w:rPr>
          <w:rFonts w:ascii="Arial" w:eastAsiaTheme="minorHAnsi" w:hAnsi="Arial" w:cs="Arial"/>
          <w:lang w:eastAsia="en-US"/>
        </w:rPr>
      </w:pPr>
      <w:r w:rsidRPr="00162C54">
        <w:rPr>
          <w:rFonts w:ascii="Arial" w:eastAsiaTheme="minorHAnsi" w:hAnsi="Arial" w:cs="Arial"/>
          <w:lang w:eastAsia="en-US"/>
        </w:rPr>
        <w:t xml:space="preserve">Object, as mentioned in </w:t>
      </w:r>
      <w:r w:rsidRPr="00162C54">
        <w:rPr>
          <w:rFonts w:ascii="Arial" w:eastAsiaTheme="minorHAnsi" w:hAnsi="Arial" w:cs="Arial"/>
          <w:b/>
          <w:lang w:eastAsia="en-US"/>
        </w:rPr>
        <w:t>2</w:t>
      </w:r>
      <w:r w:rsidR="003923E7" w:rsidRPr="00162C54">
        <w:rPr>
          <w:rFonts w:ascii="Arial" w:eastAsiaTheme="minorHAnsi" w:hAnsi="Arial" w:cs="Arial"/>
          <w:b/>
          <w:lang w:eastAsia="en-US"/>
        </w:rPr>
        <w:t>.</w:t>
      </w:r>
      <w:r w:rsidR="00C25620">
        <w:rPr>
          <w:rFonts w:ascii="Arial" w:eastAsiaTheme="minorHAnsi" w:hAnsi="Arial" w:cs="Arial"/>
          <w:b/>
          <w:lang w:eastAsia="en-US"/>
        </w:rPr>
        <w:t>2</w:t>
      </w:r>
      <w:r w:rsidRPr="00162C54">
        <w:rPr>
          <w:rFonts w:ascii="Arial" w:eastAsiaTheme="minorHAnsi" w:hAnsi="Arial" w:cs="Arial"/>
          <w:lang w:eastAsia="en-US"/>
        </w:rPr>
        <w:t xml:space="preserve"> above, to our use of member data where we are using it for our legitimate interests as opposed to in compliance with a legal obligation.</w:t>
      </w:r>
    </w:p>
    <w:p w:rsidR="00B81285" w:rsidRPr="00162C54" w:rsidRDefault="00B81285" w:rsidP="00495318">
      <w:pPr>
        <w:pStyle w:val="ListParagraph"/>
        <w:numPr>
          <w:ilvl w:val="0"/>
          <w:numId w:val="7"/>
        </w:numPr>
        <w:spacing w:after="160" w:line="240" w:lineRule="auto"/>
        <w:rPr>
          <w:rFonts w:ascii="Arial" w:eastAsiaTheme="minorHAnsi" w:hAnsi="Arial" w:cs="Arial"/>
          <w:lang w:eastAsia="en-US"/>
        </w:rPr>
      </w:pPr>
      <w:r w:rsidRPr="00162C54">
        <w:rPr>
          <w:rFonts w:ascii="Arial" w:eastAsiaTheme="minorHAnsi" w:hAnsi="Arial" w:cs="Arial"/>
          <w:lang w:eastAsia="en-US"/>
        </w:rPr>
        <w:t xml:space="preserve">Request that their data is deleted or removed if they believe, and we agree, that there is no compelling reason for </w:t>
      </w:r>
      <w:r w:rsidR="00162C54" w:rsidRPr="00162C54">
        <w:rPr>
          <w:rFonts w:ascii="Arial" w:eastAsiaTheme="minorHAnsi" w:hAnsi="Arial" w:cs="Arial"/>
          <w:lang w:eastAsia="en-US"/>
        </w:rPr>
        <w:t>the Trust</w:t>
      </w:r>
      <w:r w:rsidRPr="00162C54">
        <w:rPr>
          <w:rFonts w:ascii="Arial" w:eastAsiaTheme="minorHAnsi" w:hAnsi="Arial" w:cs="Arial"/>
          <w:lang w:eastAsia="en-US"/>
        </w:rPr>
        <w:t xml:space="preserve"> to continue to hold it.</w:t>
      </w:r>
    </w:p>
    <w:p w:rsidR="00B81285" w:rsidRPr="00162C54" w:rsidRDefault="00B81285" w:rsidP="00495318">
      <w:pPr>
        <w:pStyle w:val="ListParagraph"/>
        <w:numPr>
          <w:ilvl w:val="0"/>
          <w:numId w:val="9"/>
        </w:numPr>
        <w:spacing w:after="160" w:line="240" w:lineRule="auto"/>
        <w:rPr>
          <w:rFonts w:ascii="Arial" w:eastAsiaTheme="minorHAnsi" w:hAnsi="Arial" w:cs="Arial"/>
          <w:lang w:eastAsia="en-US"/>
        </w:rPr>
      </w:pPr>
      <w:r w:rsidRPr="00162C54">
        <w:rPr>
          <w:rFonts w:ascii="Arial" w:eastAsiaTheme="minorHAnsi" w:hAnsi="Arial" w:cs="Arial"/>
          <w:lang w:eastAsia="en-US"/>
        </w:rPr>
        <w:t>Prevent us from using their data if it would be likely to cause them distress.</w:t>
      </w:r>
    </w:p>
    <w:p w:rsidR="00B81285" w:rsidRPr="00162C54" w:rsidRDefault="0043325C" w:rsidP="00495318">
      <w:pPr>
        <w:spacing w:after="160" w:line="240" w:lineRule="auto"/>
        <w:rPr>
          <w:rFonts w:ascii="Arial" w:eastAsiaTheme="minorHAnsi" w:hAnsi="Arial" w:cs="Arial"/>
          <w:lang w:eastAsia="en-US"/>
        </w:rPr>
      </w:pPr>
      <w:r>
        <w:rPr>
          <w:rFonts w:ascii="Arial" w:eastAsiaTheme="minorHAnsi" w:hAnsi="Arial" w:cs="Arial"/>
          <w:b/>
          <w:lang w:eastAsia="en-US"/>
        </w:rPr>
        <w:t>10</w:t>
      </w:r>
      <w:r w:rsidR="00B81285" w:rsidRPr="00162C54">
        <w:rPr>
          <w:rFonts w:ascii="Arial" w:eastAsiaTheme="minorHAnsi" w:hAnsi="Arial" w:cs="Arial"/>
          <w:b/>
          <w:lang w:eastAsia="en-US"/>
        </w:rPr>
        <w:t>.</w:t>
      </w:r>
      <w:r w:rsidR="00B81285" w:rsidRPr="00162C54">
        <w:rPr>
          <w:rFonts w:ascii="Arial" w:eastAsiaTheme="minorHAnsi" w:hAnsi="Arial" w:cs="Arial"/>
          <w:lang w:eastAsia="en-US"/>
        </w:rPr>
        <w:t xml:space="preserve"> </w:t>
      </w:r>
      <w:r w:rsidR="006D5275">
        <w:rPr>
          <w:rFonts w:ascii="Arial" w:hAnsi="Arial" w:cs="Arial"/>
          <w:b/>
        </w:rPr>
        <w:t>B</w:t>
      </w:r>
      <w:r w:rsidR="00DB379B" w:rsidRPr="0066272D">
        <w:rPr>
          <w:rFonts w:ascii="Arial" w:hAnsi="Arial" w:cs="Arial"/>
          <w:b/>
        </w:rPr>
        <w:t>eneficiaries</w:t>
      </w:r>
      <w:r w:rsidR="006D5275">
        <w:rPr>
          <w:rFonts w:ascii="Arial" w:eastAsiaTheme="minorHAnsi" w:hAnsi="Arial" w:cs="Arial"/>
          <w:lang w:eastAsia="en-US"/>
        </w:rPr>
        <w:t xml:space="preserve"> </w:t>
      </w:r>
      <w:r w:rsidR="00B81285" w:rsidRPr="00162C54">
        <w:rPr>
          <w:rFonts w:ascii="Arial" w:eastAsiaTheme="minorHAnsi" w:hAnsi="Arial" w:cs="Arial"/>
          <w:lang w:eastAsia="en-US"/>
        </w:rPr>
        <w:t xml:space="preserve">have the right to lodge a complaint to the Information Commissioner’s Office if they believe that we have not complied with the requirements of the </w:t>
      </w:r>
      <w:r w:rsidR="00B81285" w:rsidRPr="00162C54">
        <w:rPr>
          <w:rFonts w:ascii="Arial" w:eastAsiaTheme="minorHAnsi" w:hAnsi="Arial" w:cs="Arial"/>
          <w:b/>
          <w:lang w:eastAsia="en-US"/>
        </w:rPr>
        <w:t>GDPR</w:t>
      </w:r>
      <w:r w:rsidR="00B81285" w:rsidRPr="00162C54">
        <w:rPr>
          <w:rFonts w:ascii="Arial" w:eastAsiaTheme="minorHAnsi" w:hAnsi="Arial" w:cs="Arial"/>
          <w:lang w:eastAsia="en-US"/>
        </w:rPr>
        <w:t xml:space="preserve"> or </w:t>
      </w:r>
      <w:r w:rsidR="00B81285" w:rsidRPr="00162C54">
        <w:rPr>
          <w:rFonts w:ascii="Arial" w:eastAsiaTheme="minorHAnsi" w:hAnsi="Arial" w:cs="Arial"/>
          <w:b/>
          <w:lang w:eastAsia="en-US"/>
        </w:rPr>
        <w:t>D</w:t>
      </w:r>
      <w:r w:rsidR="00C30256" w:rsidRPr="00162C54">
        <w:rPr>
          <w:rFonts w:ascii="Arial" w:eastAsiaTheme="minorHAnsi" w:hAnsi="Arial" w:cs="Arial"/>
          <w:b/>
          <w:lang w:eastAsia="en-US"/>
        </w:rPr>
        <w:t>P</w:t>
      </w:r>
      <w:r w:rsidR="00B81285" w:rsidRPr="00162C54">
        <w:rPr>
          <w:rFonts w:ascii="Arial" w:eastAsiaTheme="minorHAnsi" w:hAnsi="Arial" w:cs="Arial"/>
          <w:b/>
          <w:lang w:eastAsia="en-US"/>
        </w:rPr>
        <w:t>A</w:t>
      </w:r>
      <w:r w:rsidR="00B81285" w:rsidRPr="00162C54">
        <w:rPr>
          <w:rFonts w:ascii="Arial" w:eastAsiaTheme="minorHAnsi" w:hAnsi="Arial" w:cs="Arial"/>
          <w:lang w:eastAsia="en-US"/>
        </w:rPr>
        <w:t xml:space="preserve"> with regard to their personal data. </w:t>
      </w:r>
      <w:r w:rsidR="00C13A42" w:rsidRPr="00162C54">
        <w:rPr>
          <w:rFonts w:ascii="Arial" w:eastAsiaTheme="minorHAnsi" w:hAnsi="Arial" w:cs="Arial"/>
          <w:lang w:eastAsia="en-US"/>
        </w:rPr>
        <w:t xml:space="preserve">The </w:t>
      </w:r>
      <w:r w:rsidR="00B81285" w:rsidRPr="00162C54">
        <w:rPr>
          <w:rFonts w:ascii="Arial" w:eastAsiaTheme="minorHAnsi" w:hAnsi="Arial" w:cs="Arial"/>
          <w:lang w:eastAsia="en-US"/>
        </w:rPr>
        <w:t>Identity and contact details of data controller</w:t>
      </w:r>
      <w:r w:rsidR="00C13A42" w:rsidRPr="00162C54">
        <w:rPr>
          <w:rFonts w:ascii="Arial" w:eastAsiaTheme="minorHAnsi" w:hAnsi="Arial" w:cs="Arial"/>
          <w:lang w:eastAsia="en-US"/>
        </w:rPr>
        <w:t xml:space="preserve"> for </w:t>
      </w:r>
      <w:r w:rsidR="00162C54" w:rsidRPr="00162C54">
        <w:rPr>
          <w:rFonts w:ascii="Arial" w:eastAsiaTheme="minorHAnsi" w:hAnsi="Arial" w:cs="Arial"/>
          <w:b/>
          <w:lang w:eastAsia="en-US"/>
        </w:rPr>
        <w:t xml:space="preserve">The Broughton Trust </w:t>
      </w:r>
      <w:r w:rsidR="00C13A42" w:rsidRPr="00162C54">
        <w:rPr>
          <w:rFonts w:ascii="Arial" w:eastAsiaTheme="minorHAnsi" w:hAnsi="Arial" w:cs="Arial"/>
          <w:lang w:eastAsia="en-US"/>
        </w:rPr>
        <w:t>is the Company Secretary, address as above or Email</w:t>
      </w:r>
      <w:r w:rsidR="00362284" w:rsidRPr="00162C54">
        <w:rPr>
          <w:rFonts w:ascii="Arial" w:eastAsiaTheme="minorHAnsi" w:hAnsi="Arial" w:cs="Arial"/>
          <w:lang w:eastAsia="en-US"/>
        </w:rPr>
        <w:t>:</w:t>
      </w:r>
      <w:r w:rsidR="00C019EB" w:rsidRPr="00162C54">
        <w:rPr>
          <w:rFonts w:ascii="Arial" w:eastAsiaTheme="minorHAnsi" w:hAnsi="Arial" w:cs="Arial"/>
          <w:lang w:eastAsia="en-US"/>
        </w:rPr>
        <w:t xml:space="preserve"> </w:t>
      </w:r>
      <w:r w:rsidR="001A5A34" w:rsidRPr="001A5A34">
        <w:rPr>
          <w:rFonts w:ascii="Arial" w:eastAsiaTheme="minorHAnsi" w:hAnsi="Arial" w:cs="Arial"/>
          <w:b/>
          <w:color w:val="0000FF"/>
          <w:lang w:eastAsia="en-US"/>
        </w:rPr>
        <w:t>diane.crowcroft</w:t>
      </w:r>
      <w:r w:rsidR="00162C54" w:rsidRPr="00162C54">
        <w:rPr>
          <w:rFonts w:ascii="Arial" w:eastAsiaTheme="minorHAnsi" w:hAnsi="Arial" w:cs="Arial"/>
          <w:b/>
          <w:color w:val="0000FF"/>
          <w:lang w:eastAsia="en-US"/>
        </w:rPr>
        <w:t>@thebroughtontrust.org.uk</w:t>
      </w:r>
      <w:r w:rsidR="00362284" w:rsidRPr="00162C54">
        <w:rPr>
          <w:rFonts w:ascii="Arial" w:eastAsiaTheme="minorHAnsi" w:hAnsi="Arial" w:cs="Arial"/>
          <w:b/>
          <w:color w:val="0000FF"/>
          <w:lang w:eastAsia="en-US"/>
        </w:rPr>
        <w:t xml:space="preserve">                                                                                      </w:t>
      </w:r>
    </w:p>
    <w:p w:rsidR="00B81285" w:rsidRPr="00162C54" w:rsidRDefault="0043325C" w:rsidP="00495318">
      <w:pPr>
        <w:spacing w:after="160" w:line="240" w:lineRule="auto"/>
        <w:rPr>
          <w:rFonts w:ascii="Arial" w:eastAsiaTheme="minorHAnsi" w:hAnsi="Arial" w:cs="Arial"/>
          <w:lang w:eastAsia="en-US"/>
        </w:rPr>
      </w:pPr>
      <w:r>
        <w:rPr>
          <w:rFonts w:ascii="Arial" w:eastAsiaTheme="minorHAnsi" w:hAnsi="Arial" w:cs="Arial"/>
          <w:b/>
          <w:lang w:eastAsia="en-US"/>
        </w:rPr>
        <w:t>11</w:t>
      </w:r>
      <w:r w:rsidR="00B81285" w:rsidRPr="00162C54">
        <w:rPr>
          <w:rFonts w:ascii="Arial" w:eastAsiaTheme="minorHAnsi" w:hAnsi="Arial" w:cs="Arial"/>
          <w:b/>
          <w:lang w:eastAsia="en-US"/>
        </w:rPr>
        <w:t>.</w:t>
      </w:r>
      <w:r w:rsidR="00B81285" w:rsidRPr="00162C54">
        <w:rPr>
          <w:rFonts w:ascii="Arial" w:eastAsiaTheme="minorHAnsi" w:hAnsi="Arial" w:cs="Arial"/>
          <w:lang w:eastAsia="en-US"/>
        </w:rPr>
        <w:t xml:space="preserve"> </w:t>
      </w:r>
      <w:r w:rsidR="00162C54" w:rsidRPr="00162C54">
        <w:rPr>
          <w:rFonts w:ascii="Arial" w:eastAsiaTheme="minorHAnsi" w:hAnsi="Arial" w:cs="Arial"/>
          <w:b/>
          <w:lang w:eastAsia="en-US"/>
        </w:rPr>
        <w:t>The Broughton Trust</w:t>
      </w:r>
      <w:r w:rsidR="00B81285" w:rsidRPr="00162C54">
        <w:rPr>
          <w:rFonts w:ascii="Arial" w:eastAsiaTheme="minorHAnsi" w:hAnsi="Arial" w:cs="Arial"/>
          <w:lang w:eastAsia="en-US"/>
        </w:rPr>
        <w:t xml:space="preserve"> is the controller of data and the data processor for the purposes of the </w:t>
      </w:r>
      <w:r w:rsidR="00B81285" w:rsidRPr="00162C54">
        <w:rPr>
          <w:rFonts w:ascii="Arial" w:eastAsiaTheme="minorHAnsi" w:hAnsi="Arial" w:cs="Arial"/>
          <w:b/>
          <w:lang w:eastAsia="en-US"/>
        </w:rPr>
        <w:t xml:space="preserve">GDPR </w:t>
      </w:r>
      <w:r w:rsidR="00B81285" w:rsidRPr="00162C54">
        <w:rPr>
          <w:rFonts w:ascii="Arial" w:eastAsiaTheme="minorHAnsi" w:hAnsi="Arial" w:cs="Arial"/>
          <w:lang w:eastAsia="en-US"/>
        </w:rPr>
        <w:t xml:space="preserve">and the </w:t>
      </w:r>
      <w:r w:rsidR="00B81285" w:rsidRPr="00162C54">
        <w:rPr>
          <w:rFonts w:ascii="Arial" w:eastAsiaTheme="minorHAnsi" w:hAnsi="Arial" w:cs="Arial"/>
          <w:b/>
          <w:lang w:eastAsia="en-US"/>
        </w:rPr>
        <w:t>DPA.</w:t>
      </w:r>
    </w:p>
    <w:p w:rsidR="002764C0" w:rsidRDefault="0043325C" w:rsidP="002764C0">
      <w:pPr>
        <w:rPr>
          <w:rFonts w:eastAsiaTheme="minorHAnsi"/>
          <w:lang w:eastAsia="en-US"/>
        </w:rPr>
      </w:pPr>
      <w:r>
        <w:rPr>
          <w:rFonts w:ascii="Arial" w:eastAsiaTheme="minorHAnsi" w:hAnsi="Arial" w:cs="Arial"/>
          <w:b/>
          <w:lang w:eastAsia="en-US"/>
        </w:rPr>
        <w:t>12</w:t>
      </w:r>
      <w:r w:rsidR="00B81285" w:rsidRPr="00162C54">
        <w:rPr>
          <w:rFonts w:ascii="Arial" w:eastAsiaTheme="minorHAnsi" w:hAnsi="Arial" w:cs="Arial"/>
          <w:b/>
          <w:lang w:eastAsia="en-US"/>
        </w:rPr>
        <w:t>.</w:t>
      </w:r>
      <w:r w:rsidR="00B81285" w:rsidRPr="00162C54">
        <w:rPr>
          <w:rFonts w:ascii="Arial" w:eastAsiaTheme="minorHAnsi" w:hAnsi="Arial" w:cs="Arial"/>
          <w:lang w:eastAsia="en-US"/>
        </w:rPr>
        <w:t xml:space="preserve"> Additionally, we may use other data processors. Currently, we have an email account that we use </w:t>
      </w:r>
      <w:r w:rsidR="006D5275">
        <w:rPr>
          <w:rFonts w:ascii="Arial" w:eastAsiaTheme="minorHAnsi" w:hAnsi="Arial" w:cs="Arial"/>
          <w:lang w:eastAsia="en-US"/>
        </w:rPr>
        <w:t xml:space="preserve">to communicate with </w:t>
      </w:r>
      <w:r w:rsidR="006D5275">
        <w:rPr>
          <w:rFonts w:ascii="Arial" w:eastAsiaTheme="minorHAnsi" w:hAnsi="Arial" w:cs="Arial"/>
          <w:b/>
          <w:lang w:eastAsia="en-US"/>
        </w:rPr>
        <w:t>p</w:t>
      </w:r>
      <w:r w:rsidR="006D5275" w:rsidRPr="006D5275">
        <w:rPr>
          <w:rFonts w:ascii="Arial" w:eastAsiaTheme="minorHAnsi" w:hAnsi="Arial" w:cs="Arial"/>
          <w:b/>
          <w:lang w:eastAsia="en-US"/>
        </w:rPr>
        <w:t>artners</w:t>
      </w:r>
      <w:r w:rsidR="006D5275">
        <w:rPr>
          <w:rFonts w:ascii="Arial" w:eastAsiaTheme="minorHAnsi" w:hAnsi="Arial" w:cs="Arial"/>
          <w:lang w:eastAsia="en-US"/>
        </w:rPr>
        <w:t>,</w:t>
      </w:r>
      <w:r w:rsidR="00B81285" w:rsidRPr="00162C54">
        <w:rPr>
          <w:rFonts w:ascii="Arial" w:eastAsiaTheme="minorHAnsi" w:hAnsi="Arial" w:cs="Arial"/>
          <w:lang w:eastAsia="en-US"/>
        </w:rPr>
        <w:t xml:space="preserve"> </w:t>
      </w:r>
      <w:r w:rsidR="00DB379B" w:rsidRPr="0066272D">
        <w:rPr>
          <w:rFonts w:ascii="Arial" w:hAnsi="Arial" w:cs="Arial"/>
          <w:b/>
        </w:rPr>
        <w:t>beneficiaries</w:t>
      </w:r>
      <w:r w:rsidR="006D5275">
        <w:rPr>
          <w:rFonts w:ascii="Arial" w:eastAsiaTheme="minorHAnsi" w:hAnsi="Arial" w:cs="Arial"/>
          <w:lang w:eastAsia="en-US"/>
        </w:rPr>
        <w:t xml:space="preserve"> and our</w:t>
      </w:r>
      <w:r w:rsidR="00B81285" w:rsidRPr="00162C54">
        <w:rPr>
          <w:rFonts w:ascii="Arial" w:eastAsiaTheme="minorHAnsi" w:hAnsi="Arial" w:cs="Arial"/>
          <w:lang w:eastAsia="en-US"/>
        </w:rPr>
        <w:t xml:space="preserve"> </w:t>
      </w:r>
      <w:r w:rsidR="00AB355E" w:rsidRPr="006D5275">
        <w:rPr>
          <w:rFonts w:ascii="Arial" w:eastAsiaTheme="minorHAnsi" w:hAnsi="Arial" w:cs="Arial"/>
          <w:b/>
          <w:lang w:eastAsia="en-US"/>
        </w:rPr>
        <w:t>members</w:t>
      </w:r>
      <w:r w:rsidR="00AB355E" w:rsidRPr="00162C54">
        <w:rPr>
          <w:rFonts w:ascii="Arial" w:eastAsiaTheme="minorHAnsi" w:hAnsi="Arial" w:cs="Arial"/>
          <w:lang w:eastAsia="en-US"/>
        </w:rPr>
        <w:t xml:space="preserve">, </w:t>
      </w:r>
      <w:r w:rsidR="00B81285" w:rsidRPr="00162C54">
        <w:rPr>
          <w:rFonts w:ascii="Arial" w:eastAsiaTheme="minorHAnsi" w:hAnsi="Arial" w:cs="Arial"/>
          <w:lang w:eastAsia="en-US"/>
        </w:rPr>
        <w:t>which is provided by</w:t>
      </w:r>
      <w:r w:rsidR="00AB355E" w:rsidRPr="00162C54">
        <w:rPr>
          <w:rFonts w:ascii="Arial" w:eastAsiaTheme="minorHAnsi" w:hAnsi="Arial" w:cs="Arial"/>
          <w:lang w:eastAsia="en-US"/>
        </w:rPr>
        <w:t>:</w:t>
      </w:r>
      <w:r w:rsidR="002764C0">
        <w:rPr>
          <w:rFonts w:ascii="Arial" w:eastAsiaTheme="minorHAnsi" w:hAnsi="Arial" w:cs="Arial"/>
          <w:lang w:eastAsia="en-US"/>
        </w:rPr>
        <w:t xml:space="preserve"> G-mail for privacy policy please see: </w:t>
      </w:r>
      <w:hyperlink r:id="rId7" w:history="1">
        <w:r w:rsidR="002764C0" w:rsidRPr="00463BF7">
          <w:rPr>
            <w:rStyle w:val="Hyperlink"/>
            <w:rFonts w:ascii="Arial" w:hAnsi="Arial" w:cs="Arial"/>
            <w:b/>
            <w:color w:val="0000FF"/>
            <w:u w:val="none"/>
          </w:rPr>
          <w:t>https://support.google.com/googlecloud/answer/6056694?hl=en</w:t>
        </w:r>
      </w:hyperlink>
    </w:p>
    <w:p w:rsidR="00C019EB" w:rsidRPr="00162C54" w:rsidRDefault="00AB355E" w:rsidP="00495318">
      <w:pPr>
        <w:spacing w:after="160" w:line="240" w:lineRule="auto"/>
        <w:rPr>
          <w:rFonts w:ascii="Arial" w:eastAsiaTheme="minorHAnsi" w:hAnsi="Arial" w:cs="Arial"/>
          <w:lang w:eastAsia="en-US"/>
        </w:rPr>
      </w:pPr>
      <w:r w:rsidRPr="00162C54">
        <w:rPr>
          <w:rFonts w:ascii="Arial" w:eastAsiaTheme="minorHAnsi" w:hAnsi="Arial" w:cs="Arial"/>
          <w:lang w:eastAsia="en-US"/>
        </w:rPr>
        <w:t xml:space="preserve"> </w:t>
      </w:r>
      <w:r w:rsidR="0043325C">
        <w:rPr>
          <w:rFonts w:ascii="Arial" w:eastAsiaTheme="minorHAnsi" w:hAnsi="Arial" w:cs="Arial"/>
          <w:b/>
          <w:lang w:eastAsia="en-US"/>
        </w:rPr>
        <w:t>13</w:t>
      </w:r>
      <w:r w:rsidR="00C258A9" w:rsidRPr="00162C54">
        <w:rPr>
          <w:rFonts w:ascii="Arial" w:eastAsiaTheme="minorHAnsi" w:hAnsi="Arial" w:cs="Arial"/>
          <w:b/>
          <w:lang w:eastAsia="en-US"/>
        </w:rPr>
        <w:t>.</w:t>
      </w:r>
      <w:r w:rsidR="00C258A9" w:rsidRPr="00162C54">
        <w:rPr>
          <w:rFonts w:ascii="Arial" w:eastAsiaTheme="minorHAnsi" w:hAnsi="Arial" w:cs="Arial"/>
          <w:lang w:eastAsia="en-US"/>
        </w:rPr>
        <w:t xml:space="preserve"> </w:t>
      </w:r>
      <w:r w:rsidR="00B81285" w:rsidRPr="00162C54">
        <w:rPr>
          <w:rFonts w:ascii="Arial" w:eastAsiaTheme="minorHAnsi" w:hAnsi="Arial" w:cs="Arial"/>
          <w:lang w:eastAsia="en-US"/>
        </w:rPr>
        <w:t xml:space="preserve">We may also communicate with </w:t>
      </w:r>
      <w:r w:rsidR="00DB379B" w:rsidRPr="0066272D">
        <w:rPr>
          <w:rFonts w:ascii="Arial" w:hAnsi="Arial" w:cs="Arial"/>
          <w:b/>
        </w:rPr>
        <w:t>beneficiaries</w:t>
      </w:r>
      <w:r w:rsidR="00B81285" w:rsidRPr="00162C54">
        <w:rPr>
          <w:rFonts w:ascii="Arial" w:eastAsiaTheme="minorHAnsi" w:hAnsi="Arial" w:cs="Arial"/>
          <w:lang w:eastAsia="en-US"/>
        </w:rPr>
        <w:t xml:space="preserve"> via text messaging or secure messaging services if they provide </w:t>
      </w:r>
      <w:r w:rsidR="001909F3" w:rsidRPr="00162C54">
        <w:rPr>
          <w:rFonts w:ascii="Arial" w:eastAsiaTheme="minorHAnsi" w:hAnsi="Arial" w:cs="Arial"/>
          <w:lang w:eastAsia="en-US"/>
        </w:rPr>
        <w:t xml:space="preserve">us </w:t>
      </w:r>
      <w:r w:rsidR="00B81285" w:rsidRPr="00162C54">
        <w:rPr>
          <w:rFonts w:ascii="Arial" w:eastAsiaTheme="minorHAnsi" w:hAnsi="Arial" w:cs="Arial"/>
          <w:lang w:eastAsia="en-US"/>
        </w:rPr>
        <w:t>with their phone number</w:t>
      </w:r>
      <w:r w:rsidR="006B432A" w:rsidRPr="00162C54">
        <w:rPr>
          <w:rFonts w:ascii="Arial" w:eastAsiaTheme="minorHAnsi" w:hAnsi="Arial" w:cs="Arial"/>
          <w:lang w:eastAsia="en-US"/>
        </w:rPr>
        <w:t xml:space="preserve">, </w:t>
      </w:r>
      <w:r w:rsidR="00B81285" w:rsidRPr="00162C54">
        <w:rPr>
          <w:rFonts w:ascii="Arial" w:eastAsiaTheme="minorHAnsi" w:hAnsi="Arial" w:cs="Arial"/>
          <w:lang w:eastAsia="en-US"/>
        </w:rPr>
        <w:t>e.g. in connection with events or volunteering opportunities</w:t>
      </w:r>
      <w:r w:rsidR="00554997">
        <w:rPr>
          <w:rFonts w:ascii="Arial" w:eastAsiaTheme="minorHAnsi" w:hAnsi="Arial" w:cs="Arial"/>
          <w:lang w:eastAsia="en-US"/>
        </w:rPr>
        <w:t>.</w:t>
      </w:r>
      <w:r w:rsidR="00B81285" w:rsidRPr="00162C54">
        <w:rPr>
          <w:rFonts w:ascii="Arial" w:eastAsiaTheme="minorHAnsi" w:hAnsi="Arial" w:cs="Arial"/>
          <w:lang w:eastAsia="en-US"/>
        </w:rPr>
        <w:t xml:space="preserve"> We </w:t>
      </w:r>
      <w:r w:rsidR="001909F3" w:rsidRPr="00162C54">
        <w:rPr>
          <w:rFonts w:ascii="Arial" w:eastAsiaTheme="minorHAnsi" w:hAnsi="Arial" w:cs="Arial"/>
          <w:lang w:eastAsia="en-US"/>
        </w:rPr>
        <w:t>may use in the future social media such as,</w:t>
      </w:r>
      <w:r w:rsidR="00554997">
        <w:rPr>
          <w:rFonts w:ascii="Arial" w:eastAsiaTheme="minorHAnsi" w:hAnsi="Arial" w:cs="Arial"/>
          <w:lang w:eastAsia="en-US"/>
        </w:rPr>
        <w:t xml:space="preserve"> WhatsApp</w:t>
      </w:r>
      <w:r w:rsidR="00B81285" w:rsidRPr="00162C54">
        <w:rPr>
          <w:rFonts w:ascii="Arial" w:eastAsiaTheme="minorHAnsi" w:hAnsi="Arial" w:cs="Arial"/>
          <w:lang w:eastAsia="en-US"/>
        </w:rPr>
        <w:t xml:space="preserve"> as a provider of secure messaging services. </w:t>
      </w:r>
    </w:p>
    <w:p w:rsidR="00B81285" w:rsidRPr="00162C54" w:rsidRDefault="00C43BD3" w:rsidP="00495318">
      <w:pPr>
        <w:spacing w:after="160" w:line="240" w:lineRule="auto"/>
        <w:rPr>
          <w:rFonts w:ascii="Arial" w:eastAsiaTheme="minorHAnsi" w:hAnsi="Arial" w:cs="Arial"/>
          <w:lang w:eastAsia="en-US"/>
        </w:rPr>
      </w:pPr>
      <w:r w:rsidRPr="00162C54">
        <w:rPr>
          <w:rFonts w:ascii="Arial" w:eastAsiaTheme="minorHAnsi" w:hAnsi="Arial" w:cs="Arial"/>
          <w:b/>
          <w:lang w:eastAsia="en-US"/>
        </w:rPr>
        <w:t>14</w:t>
      </w:r>
      <w:r w:rsidR="00C258A9" w:rsidRPr="00162C54">
        <w:rPr>
          <w:rFonts w:ascii="Arial" w:eastAsiaTheme="minorHAnsi" w:hAnsi="Arial" w:cs="Arial"/>
          <w:b/>
          <w:lang w:eastAsia="en-US"/>
        </w:rPr>
        <w:t>.</w:t>
      </w:r>
      <w:r w:rsidR="00C258A9" w:rsidRPr="00162C54">
        <w:rPr>
          <w:rFonts w:ascii="Arial" w:eastAsiaTheme="minorHAnsi" w:hAnsi="Arial" w:cs="Arial"/>
          <w:lang w:eastAsia="en-US"/>
        </w:rPr>
        <w:t xml:space="preserve"> </w:t>
      </w:r>
      <w:r w:rsidR="00B81285" w:rsidRPr="00162C54">
        <w:rPr>
          <w:rFonts w:ascii="Arial" w:eastAsiaTheme="minorHAnsi" w:hAnsi="Arial" w:cs="Arial"/>
          <w:lang w:eastAsia="en-US"/>
        </w:rPr>
        <w:t xml:space="preserve">We will ensure that these, and any other agencies we use in future, have </w:t>
      </w:r>
      <w:r w:rsidR="00B81285" w:rsidRPr="00162C54">
        <w:rPr>
          <w:rFonts w:ascii="Arial" w:eastAsiaTheme="minorHAnsi" w:hAnsi="Arial" w:cs="Arial"/>
          <w:b/>
          <w:lang w:eastAsia="en-US"/>
        </w:rPr>
        <w:t>GDPR</w:t>
      </w:r>
      <w:r w:rsidR="00AB355E" w:rsidRPr="00162C54">
        <w:rPr>
          <w:rFonts w:ascii="Arial" w:eastAsiaTheme="minorHAnsi" w:hAnsi="Arial" w:cs="Arial"/>
          <w:lang w:eastAsia="en-US"/>
        </w:rPr>
        <w:t xml:space="preserve"> </w:t>
      </w:r>
      <w:r w:rsidR="00B81285" w:rsidRPr="00162C54">
        <w:rPr>
          <w:rFonts w:ascii="Arial" w:eastAsiaTheme="minorHAnsi" w:hAnsi="Arial" w:cs="Arial"/>
          <w:lang w:eastAsia="en-US"/>
        </w:rPr>
        <w:t>compliant procedures fo</w:t>
      </w:r>
      <w:r w:rsidR="00C019EB" w:rsidRPr="00162C54">
        <w:rPr>
          <w:rFonts w:ascii="Arial" w:eastAsiaTheme="minorHAnsi" w:hAnsi="Arial" w:cs="Arial"/>
          <w:lang w:eastAsia="en-US"/>
        </w:rPr>
        <w:t>r processing your personal data and are based in the Europe</w:t>
      </w:r>
      <w:r w:rsidR="001A2614">
        <w:rPr>
          <w:rFonts w:ascii="Arial" w:eastAsiaTheme="minorHAnsi" w:hAnsi="Arial" w:cs="Arial"/>
          <w:lang w:eastAsia="en-US"/>
        </w:rPr>
        <w:t>an</w:t>
      </w:r>
      <w:r w:rsidR="00C019EB" w:rsidRPr="00162C54">
        <w:rPr>
          <w:rFonts w:ascii="Arial" w:eastAsiaTheme="minorHAnsi" w:hAnsi="Arial" w:cs="Arial"/>
          <w:lang w:eastAsia="en-US"/>
        </w:rPr>
        <w:t xml:space="preserve"> </w:t>
      </w:r>
      <w:r w:rsidRPr="00162C54">
        <w:rPr>
          <w:rFonts w:ascii="Arial" w:eastAsiaTheme="minorHAnsi" w:hAnsi="Arial" w:cs="Arial"/>
          <w:lang w:eastAsia="en-US"/>
        </w:rPr>
        <w:t xml:space="preserve">Economic Area </w:t>
      </w:r>
      <w:r w:rsidR="00C019EB" w:rsidRPr="00162C54">
        <w:rPr>
          <w:rFonts w:ascii="Arial" w:eastAsiaTheme="minorHAnsi" w:hAnsi="Arial" w:cs="Arial"/>
          <w:lang w:eastAsia="en-US"/>
        </w:rPr>
        <w:t>or the United Kingdom.</w:t>
      </w:r>
    </w:p>
    <w:p w:rsidR="00EB2DB6" w:rsidRDefault="00C43BD3" w:rsidP="00495318">
      <w:pPr>
        <w:spacing w:after="160" w:line="240" w:lineRule="auto"/>
        <w:rPr>
          <w:rFonts w:ascii="Arial" w:eastAsiaTheme="minorHAnsi" w:hAnsi="Arial" w:cs="Arial"/>
          <w:b/>
          <w:lang w:eastAsia="en-US"/>
        </w:rPr>
      </w:pPr>
      <w:r w:rsidRPr="00162C54">
        <w:rPr>
          <w:rFonts w:ascii="Arial" w:eastAsiaTheme="minorHAnsi" w:hAnsi="Arial" w:cs="Arial"/>
          <w:b/>
          <w:lang w:eastAsia="en-US"/>
        </w:rPr>
        <w:t>15</w:t>
      </w:r>
      <w:r w:rsidR="00B81285" w:rsidRPr="00162C54">
        <w:rPr>
          <w:rFonts w:ascii="Arial" w:eastAsiaTheme="minorHAnsi" w:hAnsi="Arial" w:cs="Arial"/>
          <w:b/>
          <w:lang w:eastAsia="en-US"/>
        </w:rPr>
        <w:t>.</w:t>
      </w:r>
      <w:r w:rsidR="00C30256" w:rsidRPr="00162C54">
        <w:rPr>
          <w:rFonts w:ascii="Arial" w:eastAsiaTheme="minorHAnsi" w:hAnsi="Arial" w:cs="Arial"/>
          <w:b/>
          <w:lang w:eastAsia="en-US"/>
        </w:rPr>
        <w:t xml:space="preserve"> </w:t>
      </w:r>
      <w:r w:rsidR="006D5275">
        <w:rPr>
          <w:rFonts w:ascii="Arial" w:hAnsi="Arial" w:cs="Arial"/>
          <w:b/>
        </w:rPr>
        <w:t>B</w:t>
      </w:r>
      <w:r w:rsidR="006D5275" w:rsidRPr="0066272D">
        <w:rPr>
          <w:rFonts w:ascii="Arial" w:hAnsi="Arial" w:cs="Arial"/>
          <w:b/>
        </w:rPr>
        <w:t>eneficiaries</w:t>
      </w:r>
      <w:r w:rsidR="006D5275" w:rsidRPr="00162C54">
        <w:rPr>
          <w:rFonts w:ascii="Arial" w:eastAsiaTheme="minorHAnsi" w:hAnsi="Arial" w:cs="Arial"/>
          <w:lang w:eastAsia="en-US"/>
        </w:rPr>
        <w:t xml:space="preserve"> </w:t>
      </w:r>
      <w:r w:rsidR="00B81285" w:rsidRPr="00162C54">
        <w:rPr>
          <w:rFonts w:ascii="Arial" w:eastAsiaTheme="minorHAnsi" w:hAnsi="Arial" w:cs="Arial"/>
          <w:lang w:eastAsia="en-US"/>
        </w:rPr>
        <w:t>with any concerns as to how their data is processed can co</w:t>
      </w:r>
      <w:r w:rsidR="00C019EB" w:rsidRPr="00162C54">
        <w:rPr>
          <w:rFonts w:ascii="Arial" w:eastAsiaTheme="minorHAnsi" w:hAnsi="Arial" w:cs="Arial"/>
          <w:lang w:eastAsia="en-US"/>
        </w:rPr>
        <w:t xml:space="preserve">ntact the </w:t>
      </w:r>
      <w:r w:rsidR="00554997">
        <w:rPr>
          <w:rFonts w:ascii="Arial" w:eastAsiaTheme="minorHAnsi" w:hAnsi="Arial" w:cs="Arial"/>
          <w:lang w:eastAsia="en-US"/>
        </w:rPr>
        <w:t xml:space="preserve">Deputy Chief Officer </w:t>
      </w:r>
      <w:r w:rsidR="00C019EB" w:rsidRPr="00162C54">
        <w:rPr>
          <w:rFonts w:ascii="Arial" w:eastAsiaTheme="minorHAnsi" w:hAnsi="Arial" w:cs="Arial"/>
          <w:lang w:eastAsia="en-US"/>
        </w:rPr>
        <w:t xml:space="preserve">Secretary to the </w:t>
      </w:r>
      <w:r w:rsidR="00162C54" w:rsidRPr="00162C54">
        <w:rPr>
          <w:rFonts w:ascii="Arial" w:eastAsiaTheme="minorHAnsi" w:hAnsi="Arial" w:cs="Arial"/>
          <w:lang w:eastAsia="en-US"/>
        </w:rPr>
        <w:t xml:space="preserve">Board of Trustees </w:t>
      </w:r>
      <w:r w:rsidR="00FA2AED" w:rsidRPr="00162C54">
        <w:rPr>
          <w:rFonts w:ascii="Arial" w:eastAsiaTheme="minorHAnsi" w:hAnsi="Arial" w:cs="Arial"/>
          <w:lang w:eastAsia="en-US"/>
        </w:rPr>
        <w:t xml:space="preserve">by writing to them at </w:t>
      </w:r>
      <w:r w:rsidR="00162C54" w:rsidRPr="00162C54">
        <w:rPr>
          <w:rFonts w:ascii="Arial" w:eastAsiaTheme="minorHAnsi" w:hAnsi="Arial" w:cs="Arial"/>
          <w:lang w:eastAsia="en-US"/>
        </w:rPr>
        <w:t>The Broughton Trust</w:t>
      </w:r>
      <w:r w:rsidR="00FA2AED" w:rsidRPr="00162C54">
        <w:rPr>
          <w:rFonts w:ascii="Arial" w:eastAsiaTheme="minorHAnsi" w:hAnsi="Arial" w:cs="Arial"/>
          <w:lang w:eastAsia="en-US"/>
        </w:rPr>
        <w:t xml:space="preserve"> address (please see above), or emailing them to</w:t>
      </w:r>
      <w:r w:rsidR="00A50F58" w:rsidRPr="00162C54">
        <w:rPr>
          <w:rFonts w:ascii="Arial" w:eastAsiaTheme="minorHAnsi" w:hAnsi="Arial" w:cs="Arial"/>
          <w:lang w:eastAsia="en-US"/>
        </w:rPr>
        <w:t xml:space="preserve">: </w:t>
      </w:r>
      <w:hyperlink r:id="rId8" w:history="1">
        <w:r w:rsidR="006D5275" w:rsidRPr="006D5275">
          <w:rPr>
            <w:rStyle w:val="Hyperlink"/>
            <w:rFonts w:ascii="Arial" w:eastAsiaTheme="minorHAnsi" w:hAnsi="Arial" w:cs="Arial"/>
            <w:b/>
            <w:color w:val="0000FF"/>
            <w:lang w:eastAsia="en-US"/>
          </w:rPr>
          <w:t>office@thebroughtontrust.org.uk</w:t>
        </w:r>
      </w:hyperlink>
      <w:r w:rsidR="006D5275" w:rsidRPr="006D5275">
        <w:rPr>
          <w:rFonts w:ascii="Arial" w:eastAsiaTheme="minorHAnsi" w:hAnsi="Arial" w:cs="Arial"/>
          <w:b/>
          <w:color w:val="0000FF"/>
          <w:lang w:eastAsia="en-US"/>
        </w:rPr>
        <w:t>.</w:t>
      </w:r>
      <w:r w:rsidR="006D5275">
        <w:rPr>
          <w:rFonts w:ascii="Arial" w:eastAsiaTheme="minorHAnsi" w:hAnsi="Arial" w:cs="Arial"/>
          <w:b/>
          <w:color w:val="0000FF"/>
          <w:lang w:eastAsia="en-US"/>
        </w:rPr>
        <w:t xml:space="preserve">  </w:t>
      </w:r>
      <w:r w:rsidR="00B81285" w:rsidRPr="00162C54">
        <w:rPr>
          <w:rFonts w:ascii="Arial" w:eastAsiaTheme="minorHAnsi" w:hAnsi="Arial" w:cs="Arial"/>
          <w:lang w:eastAsia="en-US"/>
        </w:rPr>
        <w:t xml:space="preserve">We also intend </w:t>
      </w:r>
      <w:r w:rsidR="00B8603C" w:rsidRPr="00162C54">
        <w:rPr>
          <w:rFonts w:ascii="Arial" w:eastAsiaTheme="minorHAnsi" w:hAnsi="Arial" w:cs="Arial"/>
          <w:lang w:eastAsia="en-US"/>
        </w:rPr>
        <w:t>this</w:t>
      </w:r>
      <w:r w:rsidR="00B81285" w:rsidRPr="00162C54">
        <w:rPr>
          <w:rFonts w:ascii="Arial" w:eastAsiaTheme="minorHAnsi" w:hAnsi="Arial" w:cs="Arial"/>
          <w:lang w:eastAsia="en-US"/>
        </w:rPr>
        <w:t xml:space="preserve"> policy </w:t>
      </w:r>
      <w:r w:rsidR="00F857F8" w:rsidRPr="00162C54">
        <w:rPr>
          <w:rFonts w:ascii="Arial" w:eastAsiaTheme="minorHAnsi" w:hAnsi="Arial" w:cs="Arial"/>
          <w:lang w:eastAsia="en-US"/>
        </w:rPr>
        <w:t xml:space="preserve">to be </w:t>
      </w:r>
      <w:r w:rsidR="00B81285" w:rsidRPr="00162C54">
        <w:rPr>
          <w:rFonts w:ascii="Arial" w:eastAsiaTheme="minorHAnsi" w:hAnsi="Arial" w:cs="Arial"/>
          <w:lang w:eastAsia="en-US"/>
        </w:rPr>
        <w:t>publicly availabl</w:t>
      </w:r>
      <w:r w:rsidR="00362284" w:rsidRPr="00162C54">
        <w:rPr>
          <w:rFonts w:ascii="Arial" w:eastAsiaTheme="minorHAnsi" w:hAnsi="Arial" w:cs="Arial"/>
          <w:lang w:eastAsia="en-US"/>
        </w:rPr>
        <w:t xml:space="preserve">e on our website, at: </w:t>
      </w:r>
      <w:r w:rsidR="00162C54" w:rsidRPr="001A5A34">
        <w:rPr>
          <w:rFonts w:ascii="Arial" w:hAnsi="Arial" w:cs="Arial"/>
          <w:b/>
        </w:rPr>
        <w:t>www.broughtontrust</w:t>
      </w:r>
      <w:r w:rsidR="00362284" w:rsidRPr="001A5A34">
        <w:rPr>
          <w:rFonts w:ascii="Arial" w:hAnsi="Arial" w:cs="Arial"/>
          <w:b/>
        </w:rPr>
        <w:t>.co.uk</w:t>
      </w:r>
      <w:r w:rsidR="00B81285" w:rsidRPr="00162C54">
        <w:rPr>
          <w:rFonts w:ascii="Arial" w:eastAsiaTheme="minorHAnsi" w:hAnsi="Arial" w:cs="Arial"/>
          <w:b/>
          <w:lang w:eastAsia="en-US"/>
        </w:rPr>
        <w:t xml:space="preserve">           </w:t>
      </w:r>
    </w:p>
    <w:p w:rsidR="00EB2DB6" w:rsidRDefault="00EB2DB6" w:rsidP="00495318">
      <w:pPr>
        <w:spacing w:after="160" w:line="240" w:lineRule="auto"/>
        <w:rPr>
          <w:rFonts w:ascii="Arial" w:eastAsiaTheme="minorHAnsi" w:hAnsi="Arial" w:cs="Arial"/>
          <w:b/>
          <w:lang w:eastAsia="en-US"/>
        </w:rPr>
      </w:pPr>
    </w:p>
    <w:p w:rsidR="00EB2DB6" w:rsidRDefault="00EB2DB6" w:rsidP="00EB2DB6">
      <w:pPr>
        <w:tabs>
          <w:tab w:val="center" w:pos="4320"/>
          <w:tab w:val="right" w:pos="8640"/>
        </w:tabs>
        <w:spacing w:after="0" w:line="240" w:lineRule="auto"/>
        <w:jc w:val="center"/>
        <w:rPr>
          <w:rFonts w:ascii="Times New Roman" w:eastAsia="Times New Roman" w:hAnsi="Times New Roman" w:cs="Times New Roman"/>
          <w:color w:val="0000FF"/>
          <w:sz w:val="16"/>
          <w:szCs w:val="16"/>
          <w:lang w:val="en-US" w:eastAsia="en-US"/>
        </w:rPr>
      </w:pPr>
      <w:r w:rsidRPr="001A5A34">
        <w:rPr>
          <w:rFonts w:ascii="Times New Roman" w:eastAsia="Times New Roman" w:hAnsi="Times New Roman" w:cs="Times New Roman"/>
          <w:b/>
          <w:color w:val="009A46"/>
          <w:sz w:val="18"/>
          <w:szCs w:val="18"/>
          <w:lang w:val="en-US" w:eastAsia="en-US"/>
        </w:rPr>
        <w:t>The Broughton Trust</w:t>
      </w:r>
      <w:r>
        <w:rPr>
          <w:rFonts w:ascii="Times New Roman" w:eastAsia="Times New Roman" w:hAnsi="Times New Roman" w:cs="Times New Roman"/>
          <w:color w:val="0000FF"/>
          <w:sz w:val="16"/>
          <w:szCs w:val="16"/>
          <w:lang w:val="en-US" w:eastAsia="en-US"/>
        </w:rPr>
        <w:t xml:space="preserve">: </w:t>
      </w:r>
    </w:p>
    <w:p w:rsidR="00EB2DB6" w:rsidRPr="001A5A34" w:rsidRDefault="00EB2DB6" w:rsidP="00EB2DB6">
      <w:pPr>
        <w:tabs>
          <w:tab w:val="center" w:pos="4320"/>
          <w:tab w:val="right" w:pos="8640"/>
        </w:tabs>
        <w:spacing w:after="0" w:line="240" w:lineRule="auto"/>
        <w:jc w:val="center"/>
        <w:rPr>
          <w:rFonts w:ascii="Times New Roman" w:eastAsia="Times New Roman" w:hAnsi="Times New Roman" w:cs="Times New Roman"/>
          <w:sz w:val="16"/>
          <w:szCs w:val="16"/>
          <w:lang w:val="en-US" w:eastAsia="en-US"/>
        </w:rPr>
      </w:pPr>
      <w:proofErr w:type="gramStart"/>
      <w:r w:rsidRPr="001A5A34">
        <w:rPr>
          <w:rFonts w:ascii="Times New Roman" w:eastAsia="Times New Roman" w:hAnsi="Times New Roman" w:cs="Times New Roman"/>
          <w:sz w:val="16"/>
          <w:szCs w:val="16"/>
          <w:lang w:val="en-US" w:eastAsia="en-US"/>
        </w:rPr>
        <w:t>a</w:t>
      </w:r>
      <w:proofErr w:type="gramEnd"/>
      <w:r w:rsidRPr="001A5A34">
        <w:rPr>
          <w:rFonts w:ascii="Times New Roman" w:eastAsia="Times New Roman" w:hAnsi="Times New Roman" w:cs="Times New Roman"/>
          <w:sz w:val="16"/>
          <w:szCs w:val="16"/>
          <w:lang w:val="en-US" w:eastAsia="en-US"/>
        </w:rPr>
        <w:t xml:space="preserve"> Company Limited by Guarantee, Registered in England and Wales No 3900840. Registered Charity No 1089038</w:t>
      </w:r>
    </w:p>
    <w:p w:rsidR="00EB2DB6" w:rsidRPr="001A5A34" w:rsidRDefault="00EB2DB6" w:rsidP="00EB2DB6">
      <w:pPr>
        <w:pStyle w:val="Footer"/>
      </w:pPr>
    </w:p>
    <w:p w:rsidR="004F40AC" w:rsidRPr="00162C54" w:rsidRDefault="004F40AC" w:rsidP="00EB2DB6">
      <w:pPr>
        <w:spacing w:after="160" w:line="240" w:lineRule="auto"/>
        <w:jc w:val="center"/>
        <w:rPr>
          <w:rFonts w:ascii="Arial" w:hAnsi="Arial" w:cs="Arial"/>
        </w:rPr>
      </w:pPr>
    </w:p>
    <w:sectPr w:rsidR="004F40AC" w:rsidRPr="00162C54" w:rsidSect="00E579F5">
      <w:headerReference w:type="default" r:id="rId9"/>
      <w:footerReference w:type="even" r:id="rId10"/>
      <w:footerReference w:type="default" r:id="rId11"/>
      <w:headerReference w:type="first" r:id="rId12"/>
      <w:footerReference w:type="first" r:id="rId13"/>
      <w:pgSz w:w="11906" w:h="16838"/>
      <w:pgMar w:top="1440" w:right="1440" w:bottom="1440" w:left="144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F1" w:rsidRDefault="00A232F1" w:rsidP="00194B11">
      <w:pPr>
        <w:spacing w:after="0" w:line="240" w:lineRule="auto"/>
      </w:pPr>
      <w:r>
        <w:separator/>
      </w:r>
    </w:p>
  </w:endnote>
  <w:endnote w:type="continuationSeparator" w:id="0">
    <w:p w:rsidR="00A232F1" w:rsidRDefault="00A232F1" w:rsidP="0019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F5" w:rsidRDefault="00E579F5">
    <w:pPr>
      <w:pStyle w:val="Footer"/>
    </w:pPr>
    <w: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F5" w:rsidRDefault="00E579F5" w:rsidP="00E579F5">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F5" w:rsidRDefault="00152D84" w:rsidP="00E579F5">
    <w:pPr>
      <w:pStyle w:val="Footer"/>
    </w:pPr>
    <w:r>
      <w:t>DOC046 V2</w:t>
    </w:r>
    <w:r w:rsidR="00E579F5">
      <w:t xml:space="preserve">                                                              </w:t>
    </w:r>
    <w:sdt>
      <w:sdtPr>
        <w:id w:val="-348949196"/>
        <w:docPartObj>
          <w:docPartGallery w:val="Page Numbers (Bottom of Page)"/>
          <w:docPartUnique/>
        </w:docPartObj>
      </w:sdtPr>
      <w:sdtEndPr>
        <w:rPr>
          <w:noProof/>
        </w:rPr>
      </w:sdtEndPr>
      <w:sdtContent>
        <w:r w:rsidR="00E579F5">
          <w:fldChar w:fldCharType="begin"/>
        </w:r>
        <w:r w:rsidR="00E579F5">
          <w:instrText xml:space="preserve"> PAGE   \* MERGEFORMAT </w:instrText>
        </w:r>
        <w:r w:rsidR="00E579F5">
          <w:fldChar w:fldCharType="separate"/>
        </w:r>
        <w:r w:rsidR="006A1133">
          <w:rPr>
            <w:noProof/>
          </w:rPr>
          <w:t>1</w:t>
        </w:r>
        <w:r w:rsidR="00E579F5">
          <w:rPr>
            <w:noProof/>
          </w:rPr>
          <w:fldChar w:fldCharType="end"/>
        </w:r>
      </w:sdtContent>
    </w:sdt>
  </w:p>
  <w:p w:rsidR="00EB2DB6" w:rsidRDefault="00EB2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F1" w:rsidRDefault="00A232F1" w:rsidP="00194B11">
      <w:pPr>
        <w:spacing w:after="0" w:line="240" w:lineRule="auto"/>
      </w:pPr>
      <w:r>
        <w:separator/>
      </w:r>
    </w:p>
  </w:footnote>
  <w:footnote w:type="continuationSeparator" w:id="0">
    <w:p w:rsidR="00A232F1" w:rsidRDefault="00A232F1" w:rsidP="0019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F5" w:rsidRDefault="00E579F5">
    <w:pPr>
      <w:pStyle w:val="Header"/>
      <w:jc w:val="center"/>
    </w:pPr>
  </w:p>
  <w:p w:rsidR="00E579F5" w:rsidRDefault="00E57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34" w:rsidRPr="001A5A34" w:rsidRDefault="001A5A34" w:rsidP="001A5A34">
    <w:pPr>
      <w:spacing w:after="0" w:line="240" w:lineRule="auto"/>
      <w:ind w:left="1440" w:firstLine="720"/>
      <w:jc w:val="right"/>
      <w:rPr>
        <w:rFonts w:ascii="Arial Rounded MT Bold" w:eastAsia="Times New Roman" w:hAnsi="Arial Rounded MT Bold" w:cs="Times New Roman"/>
        <w:b/>
        <w:color w:val="00B050"/>
        <w:sz w:val="28"/>
        <w:szCs w:val="28"/>
        <w:lang w:val="en-US" w:eastAsia="en-US"/>
      </w:rPr>
    </w:pPr>
    <w:r w:rsidRPr="001A5A34">
      <w:rPr>
        <w:rFonts w:ascii="Bradley Hand ITC" w:eastAsia="Times New Roman" w:hAnsi="Bradley Hand ITC" w:cs="Times New Roman"/>
        <w:noProof/>
        <w:sz w:val="28"/>
        <w:szCs w:val="24"/>
        <w:lang w:eastAsia="en-GB"/>
      </w:rPr>
      <w:drawing>
        <wp:anchor distT="0" distB="0" distL="114300" distR="114300" simplePos="0" relativeHeight="251660288" behindDoc="1" locked="0" layoutInCell="1" allowOverlap="1">
          <wp:simplePos x="0" y="0"/>
          <wp:positionH relativeFrom="column">
            <wp:posOffset>-552450</wp:posOffset>
          </wp:positionH>
          <wp:positionV relativeFrom="paragraph">
            <wp:posOffset>-6350</wp:posOffset>
          </wp:positionV>
          <wp:extent cx="1943100" cy="938530"/>
          <wp:effectExtent l="0" t="0" r="0" b="0"/>
          <wp:wrapNone/>
          <wp:docPr id="3" name="Picture 3" descr="C:\Users\Diane Crowcroft\AppData\Local\Packages\Microsoft.MicrosoftEdge_8wekyb3d8bbwe\TempState\Downloads\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Crowcroft\AppData\Local\Packages\Microsoft.MicrosoftEdge_8wekyb3d8bbwe\TempState\Downloads\downloa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38530"/>
                  </a:xfrm>
                  <a:prstGeom prst="rect">
                    <a:avLst/>
                  </a:prstGeom>
                  <a:noFill/>
                  <a:ln>
                    <a:noFill/>
                  </a:ln>
                </pic:spPr>
              </pic:pic>
            </a:graphicData>
          </a:graphic>
        </wp:anchor>
      </w:drawing>
    </w:r>
    <w:r>
      <w:rPr>
        <w:rFonts w:ascii="Arial Rounded MT Bold" w:eastAsia="Times New Roman" w:hAnsi="Arial Rounded MT Bold" w:cs="Times New Roman"/>
        <w:b/>
        <w:color w:val="00B050"/>
        <w:sz w:val="28"/>
        <w:szCs w:val="28"/>
        <w:lang w:val="en-US" w:eastAsia="en-US"/>
      </w:rPr>
      <w:t xml:space="preserve">  </w:t>
    </w:r>
    <w:r w:rsidRPr="001A5A34">
      <w:rPr>
        <w:rFonts w:ascii="Arial Rounded MT Bold" w:eastAsia="Times New Roman" w:hAnsi="Arial Rounded MT Bold" w:cs="Times New Roman"/>
        <w:b/>
        <w:color w:val="00B050"/>
        <w:sz w:val="28"/>
        <w:szCs w:val="28"/>
        <w:lang w:val="en-US" w:eastAsia="en-US"/>
      </w:rPr>
      <w:t xml:space="preserve">The Broughton Trust </w:t>
    </w:r>
  </w:p>
  <w:p w:rsidR="001A5A34" w:rsidRPr="001A5A34" w:rsidRDefault="001A5A34" w:rsidP="001A5A34">
    <w:pPr>
      <w:spacing w:after="0" w:line="240" w:lineRule="auto"/>
      <w:ind w:left="1440" w:firstLine="720"/>
      <w:jc w:val="right"/>
      <w:rPr>
        <w:rFonts w:ascii="Arial Rounded MT Bold" w:eastAsia="Times New Roman" w:hAnsi="Arial Rounded MT Bold" w:cs="Times New Roman"/>
        <w:b/>
        <w:color w:val="00B050"/>
        <w:lang w:val="en-US" w:eastAsia="en-US"/>
      </w:rPr>
    </w:pPr>
    <w:r w:rsidRPr="001A5A34">
      <w:rPr>
        <w:rFonts w:ascii="Arial Rounded MT Bold" w:eastAsia="Times New Roman" w:hAnsi="Arial Rounded MT Bold" w:cs="Times New Roman"/>
        <w:b/>
        <w:color w:val="00B050"/>
        <w:lang w:val="en-US" w:eastAsia="en-US"/>
      </w:rPr>
      <w:t>Humphrey Booth Centre</w:t>
    </w:r>
  </w:p>
  <w:p w:rsidR="001A5A34" w:rsidRPr="001A5A34" w:rsidRDefault="001A5A34" w:rsidP="001A5A34">
    <w:pPr>
      <w:spacing w:after="0" w:line="240" w:lineRule="auto"/>
      <w:jc w:val="right"/>
      <w:rPr>
        <w:rFonts w:ascii="Arial Rounded MT Bold" w:eastAsia="Times New Roman" w:hAnsi="Arial Rounded MT Bold" w:cs="Times New Roman"/>
        <w:b/>
        <w:color w:val="00B050"/>
        <w:lang w:val="en-US" w:eastAsia="en-US"/>
      </w:rPr>
    </w:pPr>
    <w:r w:rsidRPr="001A5A34">
      <w:rPr>
        <w:rFonts w:ascii="Arial Rounded MT Bold" w:eastAsia="Times New Roman" w:hAnsi="Arial Rounded MT Bold" w:cs="Times New Roman"/>
        <w:b/>
        <w:color w:val="00B050"/>
        <w:lang w:val="en-US" w:eastAsia="en-US"/>
      </w:rPr>
      <w:t>Heath Avenue</w:t>
    </w:r>
  </w:p>
  <w:p w:rsidR="001A5A34" w:rsidRPr="001A5A34" w:rsidRDefault="001A5A34" w:rsidP="001A5A34">
    <w:pPr>
      <w:spacing w:after="0" w:line="240" w:lineRule="auto"/>
      <w:jc w:val="right"/>
      <w:rPr>
        <w:rFonts w:ascii="Arial Rounded MT Bold" w:eastAsia="Times New Roman" w:hAnsi="Arial Rounded MT Bold" w:cs="Times New Roman"/>
        <w:b/>
        <w:color w:val="00B050"/>
        <w:lang w:val="en-US" w:eastAsia="en-US"/>
      </w:rPr>
    </w:pPr>
    <w:r w:rsidRPr="001A5A34">
      <w:rPr>
        <w:rFonts w:ascii="Arial Rounded MT Bold" w:eastAsia="Times New Roman" w:hAnsi="Arial Rounded MT Bold" w:cs="Times New Roman"/>
        <w:b/>
        <w:color w:val="00B050"/>
        <w:lang w:val="en-US" w:eastAsia="en-US"/>
      </w:rPr>
      <w:t>City of Salford</w:t>
    </w:r>
  </w:p>
  <w:p w:rsidR="001A5A34" w:rsidRPr="001A5A34" w:rsidRDefault="001A5A34" w:rsidP="001A5A34">
    <w:pPr>
      <w:spacing w:after="0" w:line="240" w:lineRule="auto"/>
      <w:jc w:val="right"/>
      <w:rPr>
        <w:rFonts w:ascii="Arial Rounded MT Bold" w:eastAsia="Times New Roman" w:hAnsi="Arial Rounded MT Bold" w:cs="Times New Roman"/>
        <w:b/>
        <w:color w:val="00B050"/>
        <w:lang w:val="en-US" w:eastAsia="en-US"/>
      </w:rPr>
    </w:pPr>
    <w:r w:rsidRPr="001A5A34">
      <w:rPr>
        <w:rFonts w:ascii="Arial Rounded MT Bold" w:eastAsia="Times New Roman" w:hAnsi="Arial Rounded MT Bold" w:cs="Times New Roman"/>
        <w:b/>
        <w:color w:val="00B050"/>
        <w:lang w:val="en-US" w:eastAsia="en-US"/>
      </w:rPr>
      <w:t>Lancashire</w:t>
    </w:r>
  </w:p>
  <w:p w:rsidR="001A5A34" w:rsidRPr="001A5A34" w:rsidRDefault="001A5A34" w:rsidP="001A5A34">
    <w:pPr>
      <w:tabs>
        <w:tab w:val="center" w:pos="4320"/>
        <w:tab w:val="right" w:pos="8640"/>
      </w:tabs>
      <w:spacing w:after="0" w:line="240" w:lineRule="auto"/>
      <w:jc w:val="right"/>
      <w:rPr>
        <w:rFonts w:ascii="Arial Rounded MT Bold" w:eastAsia="Times New Roman" w:hAnsi="Arial Rounded MT Bold" w:cs="Times New Roman"/>
        <w:b/>
        <w:color w:val="00B050"/>
        <w:lang w:val="en-US" w:eastAsia="en-US"/>
      </w:rPr>
    </w:pPr>
    <w:r w:rsidRPr="001A5A34">
      <w:rPr>
        <w:rFonts w:ascii="Arial Rounded MT Bold" w:eastAsia="Times New Roman" w:hAnsi="Arial Rounded MT Bold" w:cs="Times New Roman"/>
        <w:b/>
        <w:color w:val="00B050"/>
        <w:lang w:val="en-US" w:eastAsia="en-US"/>
      </w:rPr>
      <w:t>M7 1NY</w:t>
    </w:r>
  </w:p>
  <w:p w:rsidR="001A5A34" w:rsidRPr="001A5A34" w:rsidRDefault="001A5A34" w:rsidP="001A5A34">
    <w:pPr>
      <w:tabs>
        <w:tab w:val="center" w:pos="4320"/>
        <w:tab w:val="right" w:pos="8640"/>
      </w:tabs>
      <w:spacing w:after="0" w:line="240" w:lineRule="auto"/>
      <w:jc w:val="right"/>
      <w:rPr>
        <w:rFonts w:ascii="Arial Rounded MT Bold" w:eastAsia="Times New Roman" w:hAnsi="Arial Rounded MT Bold" w:cs="Times New Roman"/>
        <w:b/>
        <w:color w:val="00B050"/>
        <w:sz w:val="18"/>
        <w:szCs w:val="18"/>
        <w:lang w:val="en-US" w:eastAsia="en-US"/>
      </w:rPr>
    </w:pPr>
    <w:r w:rsidRPr="001A5A34">
      <w:rPr>
        <w:rFonts w:ascii="Arial Rounded MT Bold" w:eastAsia="Times New Roman" w:hAnsi="Arial Rounded MT Bold" w:cs="Times New Roman"/>
        <w:b/>
        <w:color w:val="00B050"/>
        <w:sz w:val="18"/>
        <w:szCs w:val="18"/>
        <w:lang w:val="en-US" w:eastAsia="en-US"/>
      </w:rPr>
      <w:t>Telephone: 0161 831 9807 Email: office@thebroughtont.org.uk</w:t>
    </w:r>
  </w:p>
  <w:p w:rsidR="00194B11" w:rsidRDefault="00194B11" w:rsidP="0025288B">
    <w:pPr>
      <w:pStyle w:val="Header"/>
      <w:tabs>
        <w:tab w:val="clear" w:pos="9026"/>
        <w:tab w:val="left" w:pos="7770"/>
      </w:tabs>
    </w:pPr>
    <w:r>
      <w:t xml:space="preserve">                                                   </w:t>
    </w:r>
    <w:r w:rsidR="001A5A34">
      <w:t xml:space="preserve">                                                              </w:t>
    </w:r>
    <w:r>
      <w:t xml:space="preserve">                                         </w:t>
    </w:r>
    <w:r w:rsidR="002528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A17FD"/>
    <w:multiLevelType w:val="hybridMultilevel"/>
    <w:tmpl w:val="F8E041E2"/>
    <w:lvl w:ilvl="0" w:tplc="4CFA9246">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F32D8"/>
    <w:multiLevelType w:val="hybridMultilevel"/>
    <w:tmpl w:val="B0868CD8"/>
    <w:lvl w:ilvl="0" w:tplc="25826D7C">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0F4"/>
    <w:multiLevelType w:val="hybridMultilevel"/>
    <w:tmpl w:val="924E1C9C"/>
    <w:lvl w:ilvl="0" w:tplc="A1A47FE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93288"/>
    <w:multiLevelType w:val="hybridMultilevel"/>
    <w:tmpl w:val="A45AB7D4"/>
    <w:lvl w:ilvl="0" w:tplc="B06CD02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97A68"/>
    <w:multiLevelType w:val="hybridMultilevel"/>
    <w:tmpl w:val="E5C8DF1A"/>
    <w:lvl w:ilvl="0" w:tplc="9F46DFE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A6483"/>
    <w:multiLevelType w:val="hybridMultilevel"/>
    <w:tmpl w:val="3972185E"/>
    <w:lvl w:ilvl="0" w:tplc="255ED98E">
      <w:start w:val="1"/>
      <w:numFmt w:val="lowerLetter"/>
      <w:lvlText w:val="(%1)"/>
      <w:lvlJc w:val="left"/>
      <w:pPr>
        <w:ind w:left="1080" w:hanging="360"/>
      </w:pPr>
      <w:rPr>
        <w:b/>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22041C4"/>
    <w:multiLevelType w:val="hybridMultilevel"/>
    <w:tmpl w:val="E69456BC"/>
    <w:lvl w:ilvl="0" w:tplc="53D2F4EE">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15514"/>
    <w:multiLevelType w:val="hybridMultilevel"/>
    <w:tmpl w:val="8012CE8A"/>
    <w:lvl w:ilvl="0" w:tplc="361C399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46451"/>
    <w:multiLevelType w:val="hybridMultilevel"/>
    <w:tmpl w:val="E128591A"/>
    <w:lvl w:ilvl="0" w:tplc="C1322E9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170A8"/>
    <w:multiLevelType w:val="hybridMultilevel"/>
    <w:tmpl w:val="CE481C34"/>
    <w:lvl w:ilvl="0" w:tplc="5FD2885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838AB"/>
    <w:multiLevelType w:val="hybridMultilevel"/>
    <w:tmpl w:val="5770CFA6"/>
    <w:lvl w:ilvl="0" w:tplc="BD5C1B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9"/>
  </w:num>
  <w:num w:numId="6">
    <w:abstractNumId w:val="6"/>
  </w:num>
  <w:num w:numId="7">
    <w:abstractNumId w:val="3"/>
  </w:num>
  <w:num w:numId="8">
    <w:abstractNumId w:val="0"/>
  </w:num>
  <w:num w:numId="9">
    <w:abstractNumId w:val="8"/>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11"/>
    <w:rsid w:val="00012AC4"/>
    <w:rsid w:val="00021E3F"/>
    <w:rsid w:val="0002764D"/>
    <w:rsid w:val="0007018C"/>
    <w:rsid w:val="00070258"/>
    <w:rsid w:val="000705CE"/>
    <w:rsid w:val="00082F14"/>
    <w:rsid w:val="000B608A"/>
    <w:rsid w:val="000C5E0C"/>
    <w:rsid w:val="000D320D"/>
    <w:rsid w:val="000E2642"/>
    <w:rsid w:val="00103192"/>
    <w:rsid w:val="00110ABC"/>
    <w:rsid w:val="00122181"/>
    <w:rsid w:val="00152D84"/>
    <w:rsid w:val="00162C54"/>
    <w:rsid w:val="00166A27"/>
    <w:rsid w:val="00181E4F"/>
    <w:rsid w:val="001855EB"/>
    <w:rsid w:val="001909F3"/>
    <w:rsid w:val="00193BB0"/>
    <w:rsid w:val="00194B11"/>
    <w:rsid w:val="001A2614"/>
    <w:rsid w:val="001A5A34"/>
    <w:rsid w:val="001F2D96"/>
    <w:rsid w:val="0025288B"/>
    <w:rsid w:val="002613BB"/>
    <w:rsid w:val="002764C0"/>
    <w:rsid w:val="002A73A6"/>
    <w:rsid w:val="002B07D6"/>
    <w:rsid w:val="002B53D8"/>
    <w:rsid w:val="0030668F"/>
    <w:rsid w:val="003146C5"/>
    <w:rsid w:val="00315384"/>
    <w:rsid w:val="00325809"/>
    <w:rsid w:val="0032615D"/>
    <w:rsid w:val="0034284A"/>
    <w:rsid w:val="00362284"/>
    <w:rsid w:val="00374F76"/>
    <w:rsid w:val="003923E7"/>
    <w:rsid w:val="003C28CD"/>
    <w:rsid w:val="003E2547"/>
    <w:rsid w:val="003F7EA8"/>
    <w:rsid w:val="004302CE"/>
    <w:rsid w:val="0043325C"/>
    <w:rsid w:val="00463BF7"/>
    <w:rsid w:val="00495318"/>
    <w:rsid w:val="004F40AC"/>
    <w:rsid w:val="00500CCF"/>
    <w:rsid w:val="00516392"/>
    <w:rsid w:val="00523C68"/>
    <w:rsid w:val="005267A6"/>
    <w:rsid w:val="00554997"/>
    <w:rsid w:val="00587B9D"/>
    <w:rsid w:val="00630C84"/>
    <w:rsid w:val="0064711B"/>
    <w:rsid w:val="00651CD8"/>
    <w:rsid w:val="00651E8D"/>
    <w:rsid w:val="0066272D"/>
    <w:rsid w:val="006A1133"/>
    <w:rsid w:val="006B432A"/>
    <w:rsid w:val="006D5275"/>
    <w:rsid w:val="006E7ED9"/>
    <w:rsid w:val="007046AA"/>
    <w:rsid w:val="0070731D"/>
    <w:rsid w:val="007402EE"/>
    <w:rsid w:val="0074675A"/>
    <w:rsid w:val="0077210A"/>
    <w:rsid w:val="00775A3A"/>
    <w:rsid w:val="007B1887"/>
    <w:rsid w:val="007D795E"/>
    <w:rsid w:val="00811EB8"/>
    <w:rsid w:val="0082755D"/>
    <w:rsid w:val="00854A67"/>
    <w:rsid w:val="008613B7"/>
    <w:rsid w:val="00885A6C"/>
    <w:rsid w:val="008F325B"/>
    <w:rsid w:val="009036ED"/>
    <w:rsid w:val="009157F2"/>
    <w:rsid w:val="00927E74"/>
    <w:rsid w:val="0095356B"/>
    <w:rsid w:val="0097485A"/>
    <w:rsid w:val="0099249F"/>
    <w:rsid w:val="009B2E5A"/>
    <w:rsid w:val="009C2EBA"/>
    <w:rsid w:val="00A06221"/>
    <w:rsid w:val="00A15BE0"/>
    <w:rsid w:val="00A232F1"/>
    <w:rsid w:val="00A50F58"/>
    <w:rsid w:val="00A948BA"/>
    <w:rsid w:val="00AA5388"/>
    <w:rsid w:val="00AB355E"/>
    <w:rsid w:val="00AE57EF"/>
    <w:rsid w:val="00AE6103"/>
    <w:rsid w:val="00B027E4"/>
    <w:rsid w:val="00B22638"/>
    <w:rsid w:val="00B34A11"/>
    <w:rsid w:val="00B7363E"/>
    <w:rsid w:val="00B81285"/>
    <w:rsid w:val="00B8603C"/>
    <w:rsid w:val="00BA674E"/>
    <w:rsid w:val="00C019EB"/>
    <w:rsid w:val="00C05791"/>
    <w:rsid w:val="00C13A42"/>
    <w:rsid w:val="00C15437"/>
    <w:rsid w:val="00C25620"/>
    <w:rsid w:val="00C258A9"/>
    <w:rsid w:val="00C30256"/>
    <w:rsid w:val="00C43BD3"/>
    <w:rsid w:val="00C5587C"/>
    <w:rsid w:val="00C86797"/>
    <w:rsid w:val="00CA67C9"/>
    <w:rsid w:val="00CC19FF"/>
    <w:rsid w:val="00CD2776"/>
    <w:rsid w:val="00CF1DEC"/>
    <w:rsid w:val="00D42FAE"/>
    <w:rsid w:val="00D60DB5"/>
    <w:rsid w:val="00DB205D"/>
    <w:rsid w:val="00DB379B"/>
    <w:rsid w:val="00DE261F"/>
    <w:rsid w:val="00DF5837"/>
    <w:rsid w:val="00E579F5"/>
    <w:rsid w:val="00E83157"/>
    <w:rsid w:val="00E94EBA"/>
    <w:rsid w:val="00EA58DC"/>
    <w:rsid w:val="00EB2DB6"/>
    <w:rsid w:val="00F10680"/>
    <w:rsid w:val="00F857F8"/>
    <w:rsid w:val="00F85D46"/>
    <w:rsid w:val="00FA2AED"/>
    <w:rsid w:val="00FA4BAE"/>
    <w:rsid w:val="00FC5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14645-7D4F-4A8E-A9A4-EDAC35BE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11"/>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B11"/>
  </w:style>
  <w:style w:type="paragraph" w:styleId="Footer">
    <w:name w:val="footer"/>
    <w:basedOn w:val="Normal"/>
    <w:link w:val="FooterChar"/>
    <w:uiPriority w:val="99"/>
    <w:unhideWhenUsed/>
    <w:rsid w:val="00194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B11"/>
  </w:style>
  <w:style w:type="paragraph" w:styleId="Title">
    <w:name w:val="Title"/>
    <w:basedOn w:val="Normal"/>
    <w:next w:val="Normal"/>
    <w:link w:val="TitleChar"/>
    <w:uiPriority w:val="10"/>
    <w:qFormat/>
    <w:rsid w:val="00194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B11"/>
    <w:rPr>
      <w:rFonts w:asciiTheme="majorHAnsi" w:eastAsiaTheme="majorEastAsia" w:hAnsiTheme="majorHAnsi" w:cstheme="majorBidi"/>
      <w:spacing w:val="-10"/>
      <w:kern w:val="28"/>
      <w:sz w:val="56"/>
      <w:szCs w:val="56"/>
      <w:lang w:eastAsia="zh-TW"/>
    </w:rPr>
  </w:style>
  <w:style w:type="paragraph" w:customStyle="1" w:styleId="Default">
    <w:name w:val="Default"/>
    <w:rsid w:val="00194B11"/>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BalloonText">
    <w:name w:val="Balloon Text"/>
    <w:basedOn w:val="Normal"/>
    <w:link w:val="BalloonTextChar"/>
    <w:uiPriority w:val="99"/>
    <w:semiHidden/>
    <w:unhideWhenUsed/>
    <w:rsid w:val="0025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8B"/>
    <w:rPr>
      <w:rFonts w:ascii="Segoe UI" w:eastAsiaTheme="minorEastAsia" w:hAnsi="Segoe UI" w:cs="Segoe UI"/>
      <w:sz w:val="18"/>
      <w:szCs w:val="18"/>
      <w:lang w:eastAsia="zh-TW"/>
    </w:rPr>
  </w:style>
  <w:style w:type="paragraph" w:styleId="ListParagraph">
    <w:name w:val="List Paragraph"/>
    <w:basedOn w:val="Normal"/>
    <w:qFormat/>
    <w:rsid w:val="00A15BE0"/>
    <w:pPr>
      <w:ind w:left="720"/>
      <w:contextualSpacing/>
    </w:pPr>
  </w:style>
  <w:style w:type="character" w:styleId="Hyperlink">
    <w:name w:val="Hyperlink"/>
    <w:basedOn w:val="DefaultParagraphFont"/>
    <w:uiPriority w:val="99"/>
    <w:unhideWhenUsed/>
    <w:rsid w:val="002764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7241">
      <w:bodyDiv w:val="1"/>
      <w:marLeft w:val="0"/>
      <w:marRight w:val="0"/>
      <w:marTop w:val="0"/>
      <w:marBottom w:val="0"/>
      <w:divBdr>
        <w:top w:val="none" w:sz="0" w:space="0" w:color="auto"/>
        <w:left w:val="none" w:sz="0" w:space="0" w:color="auto"/>
        <w:bottom w:val="none" w:sz="0" w:space="0" w:color="auto"/>
        <w:right w:val="none" w:sz="0" w:space="0" w:color="auto"/>
      </w:divBdr>
    </w:div>
    <w:div w:id="18108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hebroughtontrust.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google.com/googlecloud/answer/6056694?hl=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Jones</dc:creator>
  <cp:lastModifiedBy>Diane Crowcroft</cp:lastModifiedBy>
  <cp:revision>4</cp:revision>
  <cp:lastPrinted>2018-12-03T10:36:00Z</cp:lastPrinted>
  <dcterms:created xsi:type="dcterms:W3CDTF">2022-04-11T15:00:00Z</dcterms:created>
  <dcterms:modified xsi:type="dcterms:W3CDTF">2022-04-12T08:26:00Z</dcterms:modified>
</cp:coreProperties>
</file>